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FFA5F" w14:textId="77777777" w:rsidR="00AB3AA8" w:rsidRDefault="00AB3AA8" w:rsidP="00AB3AA8">
      <w:pPr>
        <w:jc w:val="center"/>
        <w:rPr>
          <w:rFonts w:ascii="Times New Roman" w:hAnsi="Times New Roman"/>
          <w:sz w:val="24"/>
          <w:szCs w:val="22"/>
        </w:rPr>
      </w:pPr>
      <w:r>
        <w:rPr>
          <w:rFonts w:ascii="Times New Roman" w:hAnsi="Times New Roman"/>
          <w:sz w:val="24"/>
        </w:rPr>
        <w:t>IT</w:t>
      </w:r>
    </w:p>
    <w:p w14:paraId="21950E32" w14:textId="77777777" w:rsidR="00AB3AA8" w:rsidRDefault="00AB3AA8" w:rsidP="00AB3AA8">
      <w:pPr>
        <w:rPr>
          <w:rFonts w:asciiTheme="minorHAnsi" w:hAnsiTheme="minorHAnsi"/>
          <w:sz w:val="22"/>
        </w:rPr>
      </w:pPr>
    </w:p>
    <w:p w14:paraId="7630D4F1" w14:textId="77777777" w:rsidR="00393F1E" w:rsidRPr="00037E7B" w:rsidRDefault="00393F1E" w:rsidP="00393F1E">
      <w:pPr>
        <w:jc w:val="center"/>
        <w:rPr>
          <w:rFonts w:ascii="Times New Roman" w:hAnsi="Times New Roman"/>
          <w:sz w:val="24"/>
        </w:rPr>
      </w:pPr>
      <w:r>
        <w:rPr>
          <w:rFonts w:ascii="Times New Roman" w:hAnsi="Times New Roman"/>
          <w:sz w:val="24"/>
        </w:rPr>
        <w:t>ALLEGATO II</w:t>
      </w:r>
    </w:p>
    <w:p w14:paraId="4A662760" w14:textId="77777777" w:rsidR="00393F1E" w:rsidRPr="00037E7B" w:rsidRDefault="00393F1E" w:rsidP="00393F1E">
      <w:pPr>
        <w:jc w:val="center"/>
        <w:rPr>
          <w:rFonts w:ascii="Times New Roman" w:hAnsi="Times New Roman"/>
          <w:sz w:val="24"/>
        </w:rPr>
      </w:pPr>
      <w:r>
        <w:rPr>
          <w:rFonts w:ascii="Times New Roman" w:hAnsi="Times New Roman"/>
          <w:sz w:val="24"/>
        </w:rPr>
        <w:t>"ALLEGATO II</w:t>
      </w:r>
    </w:p>
    <w:p w14:paraId="4C01682A" w14:textId="3F0D160E" w:rsidR="00393F1E" w:rsidRPr="00037E7B" w:rsidRDefault="00393F1E" w:rsidP="00393F1E">
      <w:pPr>
        <w:jc w:val="center"/>
        <w:rPr>
          <w:rFonts w:ascii="Times New Roman" w:hAnsi="Times New Roman"/>
          <w:b/>
          <w:sz w:val="24"/>
        </w:rPr>
      </w:pPr>
      <w:r>
        <w:rPr>
          <w:rFonts w:ascii="Times New Roman" w:hAnsi="Times New Roman"/>
          <w:b/>
          <w:sz w:val="24"/>
        </w:rPr>
        <w:t xml:space="preserve">ISTRUZIONI PER LE SEGNALAZIONI RIGUARDANTI I FONDI PROPRI </w:t>
      </w:r>
      <w:r w:rsidR="008A0FD4">
        <w:rPr>
          <w:rFonts w:ascii="Times New Roman" w:hAnsi="Times New Roman"/>
          <w:b/>
          <w:sz w:val="24"/>
        </w:rPr>
        <w:br/>
      </w:r>
      <w:r>
        <w:rPr>
          <w:rFonts w:ascii="Times New Roman" w:hAnsi="Times New Roman"/>
          <w:b/>
          <w:sz w:val="24"/>
        </w:rPr>
        <w:t>E I REQUISITI DI FONDI PROPRI</w:t>
      </w:r>
    </w:p>
    <w:p w14:paraId="6B9B322A" w14:textId="77777777" w:rsidR="00E26A90" w:rsidRDefault="00E26A90"/>
    <w:p w14:paraId="0A62D0FD" w14:textId="77777777" w:rsidR="00626DD7" w:rsidRDefault="00626DD7" w:rsidP="00626DD7">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PARTE II: ISTRUZIONI RELATIVE AI MODELLI</w:t>
      </w:r>
    </w:p>
    <w:p w14:paraId="0BF83CF9" w14:textId="77777777" w:rsidR="00626DD7" w:rsidRDefault="00626DD7" w:rsidP="00626DD7">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4D47E5BD" w14:textId="77777777" w:rsidR="00626DD7" w:rsidRPr="00736637" w:rsidRDefault="00626DD7" w:rsidP="00626DD7">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19E744EA" w14:textId="77777777" w:rsidR="00626DD7" w:rsidRDefault="00626DD7"/>
    <w:p w14:paraId="3B628AE5" w14:textId="22B7D9E5" w:rsidR="00FB3D09" w:rsidRPr="002A677E" w:rsidRDefault="00582B0D" w:rsidP="00FB3D09">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3.3</w:t>
      </w:r>
      <w:r w:rsidR="008A0FD4">
        <w:rPr>
          <w:rFonts w:ascii="Times New Roman" w:hAnsi="Times New Roman"/>
          <w:sz w:val="24"/>
        </w:rPr>
        <w:tab/>
      </w:r>
      <w:r>
        <w:rPr>
          <w:rFonts w:ascii="Times New Roman" w:hAnsi="Times New Roman"/>
          <w:sz w:val="24"/>
        </w:rPr>
        <w:t>Rischio di credito e rischio di controparte e operazioni con regolamento non contestuale: metodo IRB applicato ai requisiti di fondi propri (CR IRB)</w:t>
      </w:r>
    </w:p>
    <w:p w14:paraId="4E7759A8" w14:textId="77777777" w:rsidR="00FB3D09" w:rsidRPr="002A677E" w:rsidRDefault="00FB3D09" w:rsidP="00FB3D09">
      <w:pPr>
        <w:pStyle w:val="Instructionsberschrift2"/>
        <w:numPr>
          <w:ilvl w:val="0"/>
          <w:numId w:val="0"/>
        </w:numPr>
        <w:ind w:left="357" w:hanging="357"/>
        <w:rPr>
          <w:rFonts w:ascii="Times New Roman" w:hAnsi="Times New Roman" w:cs="Times New Roman"/>
          <w:sz w:val="24"/>
        </w:rPr>
      </w:pPr>
      <w:bookmarkStart w:id="0" w:name="_Toc360188358"/>
      <w:bookmarkStart w:id="1" w:name="_Toc473560907"/>
      <w:bookmarkStart w:id="2" w:name="_Toc151714395"/>
      <w:r>
        <w:rPr>
          <w:rFonts w:ascii="Times New Roman" w:hAnsi="Times New Roman"/>
          <w:sz w:val="24"/>
          <w:u w:val="none"/>
        </w:rPr>
        <w:t>3.3.1.</w:t>
      </w:r>
      <w:r>
        <w:tab/>
      </w:r>
      <w:r>
        <w:rPr>
          <w:rFonts w:ascii="Times New Roman" w:hAnsi="Times New Roman"/>
          <w:sz w:val="24"/>
        </w:rPr>
        <w:t>Ambito di applicazione del modello CR IRB</w:t>
      </w:r>
      <w:bookmarkEnd w:id="0"/>
      <w:bookmarkEnd w:id="1"/>
      <w:bookmarkEnd w:id="2"/>
    </w:p>
    <w:p w14:paraId="53B757C0" w14:textId="77777777" w:rsidR="00FB3D09" w:rsidRPr="002A677E" w:rsidRDefault="00FB3D09" w:rsidP="00FB3D09">
      <w:pPr>
        <w:pStyle w:val="InstructionsText2"/>
        <w:numPr>
          <w:ilvl w:val="0"/>
          <w:numId w:val="0"/>
        </w:numPr>
        <w:ind w:left="993"/>
      </w:pPr>
      <w:r>
        <w:fldChar w:fldCharType="begin"/>
      </w:r>
      <w:r>
        <w:instrText xml:space="preserve"> seq paragraphs </w:instrText>
      </w:r>
      <w:r>
        <w:fldChar w:fldCharType="separate"/>
      </w:r>
      <w:r>
        <w:t>72</w:t>
      </w:r>
      <w:r>
        <w:fldChar w:fldCharType="end"/>
      </w:r>
      <w:r>
        <w:t>.</w:t>
      </w:r>
      <w:r>
        <w:tab/>
        <w:t>L'ambito di applicazione del modello CR IRB riguarda:</w:t>
      </w:r>
    </w:p>
    <w:p w14:paraId="3BAE32CC" w14:textId="77777777" w:rsidR="00FB3D09" w:rsidRPr="002A677E" w:rsidRDefault="00FB3D09" w:rsidP="00FB3D09">
      <w:pPr>
        <w:pStyle w:val="InstructionsText2"/>
        <w:numPr>
          <w:ilvl w:val="0"/>
          <w:numId w:val="0"/>
        </w:numPr>
        <w:ind w:left="993"/>
      </w:pPr>
      <w:r>
        <w:t>i.</w:t>
      </w:r>
      <w:r>
        <w:tab/>
        <w:t>il rischio di credito interno al portafoglio bancario, tra cui:</w:t>
      </w:r>
    </w:p>
    <w:p w14:paraId="24DF91FB" w14:textId="77777777" w:rsidR="00FB3D09" w:rsidRPr="002A677E" w:rsidRDefault="00FB3D09" w:rsidP="00FB3D09">
      <w:pPr>
        <w:pStyle w:val="InstructionsText2"/>
        <w:numPr>
          <w:ilvl w:val="0"/>
          <w:numId w:val="0"/>
        </w:numPr>
        <w:ind w:left="993"/>
      </w:pPr>
      <w:r>
        <w:t>il rischio di controparte interno al portafoglio bancario;</w:t>
      </w:r>
    </w:p>
    <w:p w14:paraId="2FF003CE" w14:textId="77777777" w:rsidR="00FB3D09" w:rsidRPr="002A677E" w:rsidRDefault="00FB3D09" w:rsidP="00FB3D09">
      <w:pPr>
        <w:pStyle w:val="InstructionsText2"/>
        <w:numPr>
          <w:ilvl w:val="0"/>
          <w:numId w:val="0"/>
        </w:numPr>
        <w:ind w:left="993"/>
      </w:pPr>
      <w:r>
        <w:t>il rischio di diluizione per crediti commerciali acquistati;</w:t>
      </w:r>
    </w:p>
    <w:p w14:paraId="25CEC377" w14:textId="77777777" w:rsidR="00FB3D09" w:rsidRPr="002A677E" w:rsidRDefault="00FB3D09" w:rsidP="00FB3D09">
      <w:pPr>
        <w:pStyle w:val="InstructionsText2"/>
        <w:numPr>
          <w:ilvl w:val="0"/>
          <w:numId w:val="0"/>
        </w:numPr>
        <w:ind w:left="993"/>
      </w:pPr>
      <w:r>
        <w:t>ii.</w:t>
      </w:r>
      <w:r>
        <w:tab/>
        <w:t>il rischio di controparte interno al portafoglio di negoziazione;</w:t>
      </w:r>
    </w:p>
    <w:p w14:paraId="082D669A" w14:textId="77777777" w:rsidR="00FB3D09" w:rsidRPr="002A677E" w:rsidRDefault="00FB3D09" w:rsidP="00FB3D09">
      <w:pPr>
        <w:pStyle w:val="InstructionsText2"/>
        <w:numPr>
          <w:ilvl w:val="0"/>
          <w:numId w:val="0"/>
        </w:numPr>
        <w:ind w:left="993"/>
      </w:pPr>
      <w:r>
        <w:t>iii.</w:t>
      </w:r>
      <w:r>
        <w:tab/>
        <w:t>le operazioni con regolamento non contestuale derivanti da tutte le attività aziendali.</w:t>
      </w:r>
    </w:p>
    <w:p w14:paraId="50C5E887" w14:textId="77777777" w:rsidR="00FB3D09" w:rsidRPr="002A677E" w:rsidRDefault="00FB3D09" w:rsidP="00FB3D09">
      <w:pPr>
        <w:pStyle w:val="InstructionsText2"/>
        <w:numPr>
          <w:ilvl w:val="0"/>
          <w:numId w:val="0"/>
        </w:numPr>
        <w:ind w:left="993"/>
      </w:pPr>
      <w:r>
        <w:t>73.</w:t>
      </w:r>
      <w:r>
        <w:tab/>
        <w:t xml:space="preserve">L’ambito di applicazione del modello comprende le esposizioni i cui importi ponderati per il rischio sono calcolati ai sensi della parte tre, titolo II, capo 3, articoli da 151 a 157, del regolamento (UE) n. 575/2013 (metodo IRB). </w:t>
      </w:r>
    </w:p>
    <w:p w14:paraId="537660ED" w14:textId="77777777" w:rsidR="00FB3D09" w:rsidRPr="002A677E" w:rsidRDefault="00FB3D09" w:rsidP="00FB3D09">
      <w:pPr>
        <w:pStyle w:val="InstructionsText2"/>
        <w:numPr>
          <w:ilvl w:val="0"/>
          <w:numId w:val="0"/>
        </w:numPr>
        <w:ind w:left="993"/>
      </w:pPr>
      <w:r>
        <w:fldChar w:fldCharType="begin"/>
      </w:r>
      <w:r>
        <w:instrText xml:space="preserve"> seq paragraphs </w:instrText>
      </w:r>
      <w:r>
        <w:fldChar w:fldCharType="separate"/>
      </w:r>
      <w:r>
        <w:t>74</w:t>
      </w:r>
      <w:r>
        <w:fldChar w:fldCharType="end"/>
      </w:r>
      <w:r>
        <w:t xml:space="preserve">. Il modello CR IRB non comprende i seguenti dati: </w:t>
      </w:r>
    </w:p>
    <w:p w14:paraId="7F7154C9" w14:textId="03F98C33" w:rsidR="00FB3D09" w:rsidRPr="002A677E" w:rsidRDefault="00FB3D09" w:rsidP="00FB3D09">
      <w:pPr>
        <w:pStyle w:val="InstructionsText2"/>
        <w:numPr>
          <w:ilvl w:val="0"/>
          <w:numId w:val="0"/>
        </w:numPr>
        <w:ind w:left="993"/>
      </w:pPr>
      <w:r>
        <w:t>i.</w:t>
      </w:r>
      <w:r>
        <w:tab/>
        <w:t>le esposizioni in strumenti di capitale, che sono segnalate nel modello CR</w:t>
      </w:r>
      <w:r w:rsidR="008A0FD4">
        <w:t> </w:t>
      </w:r>
      <w:r>
        <w:t>EQU</w:t>
      </w:r>
      <w:r w:rsidR="008A0FD4">
        <w:t> </w:t>
      </w:r>
      <w:r>
        <w:t xml:space="preserve">IRB; </w:t>
      </w:r>
    </w:p>
    <w:p w14:paraId="39CEAA6A" w14:textId="77777777" w:rsidR="00FB3D09" w:rsidRPr="002A677E" w:rsidRDefault="00FB3D09" w:rsidP="00FB3D09">
      <w:pPr>
        <w:pStyle w:val="InstructionsText2"/>
        <w:numPr>
          <w:ilvl w:val="0"/>
          <w:numId w:val="0"/>
        </w:numPr>
        <w:ind w:left="993"/>
      </w:pPr>
      <w:r>
        <w:t>ii.</w:t>
      </w:r>
      <w:r>
        <w:tab/>
        <w:t>le posizioni verso la cartolarizzazione, che sono segnalate nei modelli CR SEC e/o CR SEC Details;</w:t>
      </w:r>
    </w:p>
    <w:p w14:paraId="486C870A" w14:textId="47C2E567" w:rsidR="00FB3D09" w:rsidRPr="002A677E" w:rsidRDefault="00FB3D09" w:rsidP="00FB3D09">
      <w:pPr>
        <w:pStyle w:val="InstructionsText2"/>
        <w:numPr>
          <w:ilvl w:val="0"/>
          <w:numId w:val="0"/>
        </w:numPr>
        <w:ind w:left="993"/>
      </w:pPr>
      <w:r>
        <w:t>iii.</w:t>
      </w:r>
      <w:r>
        <w:tab/>
        <w:t xml:space="preserve">"altre attività diverse da crediti" di cui all’articolo 147, paragrafo 2, lettera g), del regolamento (UE) n. 575/2013. Per questa classe di esposizioni il fattore di ponderazione del rischio deve essere sempre del 100 %, esclusi gli elementi "cassa e valori assimilati" e le esposizioni che costituiscono valori residuali di beni dati in locazione, conformemente all'articolo 156 del regolamento (UE) n. 575/2013. </w:t>
      </w:r>
      <w:r w:rsidR="008A0FD4">
        <w:br/>
      </w:r>
      <w:r>
        <w:t>Gli importi delle esposizioni ponderati per il rischio di questa classe di esposizioni sono segnalati direttamente nel modello CA;</w:t>
      </w:r>
    </w:p>
    <w:p w14:paraId="06855F02" w14:textId="77777777" w:rsidR="00FB3D09" w:rsidRPr="002A677E" w:rsidRDefault="00FB3D09" w:rsidP="00FB3D09">
      <w:pPr>
        <w:pStyle w:val="InstructionsText2"/>
        <w:numPr>
          <w:ilvl w:val="0"/>
          <w:numId w:val="0"/>
        </w:numPr>
        <w:ind w:left="993"/>
      </w:pPr>
      <w:r>
        <w:lastRenderedPageBreak/>
        <w:t>iv.</w:t>
      </w:r>
      <w:r>
        <w:tab/>
        <w:t>il rischio di aggiustamento della valutazione del credito (CVA), che è segnalato nel modello rischio di CVA.</w:t>
      </w:r>
    </w:p>
    <w:p w14:paraId="459A7112" w14:textId="77777777" w:rsidR="00FB3D09" w:rsidRPr="002A677E" w:rsidRDefault="00FB3D09" w:rsidP="00FB3D09">
      <w:pPr>
        <w:pStyle w:val="InstructionsText2"/>
        <w:numPr>
          <w:ilvl w:val="0"/>
          <w:numId w:val="0"/>
        </w:numPr>
        <w:ind w:left="993"/>
      </w:pPr>
      <w:r>
        <w:t xml:space="preserve">Per il modello CR IRB non è richiesta la ripartizione geografica per paese di residenza della controparte delle esposizioni cui è applicato il metodo IRB, che è segnalata nel modello CR GB. </w:t>
      </w:r>
    </w:p>
    <w:p w14:paraId="50F092DC" w14:textId="77777777" w:rsidR="00FB3D09" w:rsidRPr="002A677E" w:rsidRDefault="00FB3D09" w:rsidP="00FB3D09">
      <w:pPr>
        <w:autoSpaceDE w:val="0"/>
        <w:autoSpaceDN w:val="0"/>
        <w:adjustRightInd w:val="0"/>
        <w:spacing w:before="0" w:after="240"/>
        <w:ind w:left="1418"/>
        <w:jc w:val="left"/>
        <w:rPr>
          <w:rFonts w:ascii="Times New Roman" w:hAnsi="Times New Roman"/>
          <w:sz w:val="24"/>
        </w:rPr>
      </w:pPr>
      <w:r>
        <w:rPr>
          <w:rFonts w:ascii="Times New Roman" w:hAnsi="Times New Roman"/>
          <w:sz w:val="24"/>
        </w:rPr>
        <w:t>Le voci i) e iii) non si applicano al modello CR IRB 7.</w:t>
      </w:r>
    </w:p>
    <w:p w14:paraId="383EDB2A"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75</w:t>
      </w:r>
      <w:r>
        <w:fldChar w:fldCharType="end"/>
      </w:r>
      <w:r>
        <w:t>.</w:t>
      </w:r>
      <w:r>
        <w:tab/>
        <w:t>Per precisare se l'ente utilizza stime interne della LGD e/o dei fattori di conversione del credito, sono fornite le seguenti informazioni per ciascuna classe di esposizioni segnalata:</w:t>
      </w:r>
    </w:p>
    <w:p w14:paraId="5E6A9A8B" w14:textId="77777777" w:rsidR="00FB3D09" w:rsidRPr="002A677E" w:rsidRDefault="00FB3D09" w:rsidP="00FB3D09">
      <w:pPr>
        <w:autoSpaceDE w:val="0"/>
        <w:autoSpaceDN w:val="0"/>
        <w:adjustRightInd w:val="0"/>
        <w:spacing w:before="0" w:after="240"/>
        <w:ind w:left="993"/>
        <w:jc w:val="left"/>
        <w:rPr>
          <w:rFonts w:ascii="Times New Roman" w:hAnsi="Times New Roman"/>
          <w:sz w:val="24"/>
        </w:rPr>
      </w:pPr>
      <w:r>
        <w:rPr>
          <w:rFonts w:ascii="Times New Roman" w:hAnsi="Times New Roman"/>
          <w:sz w:val="24"/>
        </w:rPr>
        <w:t>"NO" = se si utilizzano le stime della LGD e dei fattori di conversione del credito compiute dall'organismo di vigilanza (IRB di base — F-IRB);</w:t>
      </w:r>
    </w:p>
    <w:p w14:paraId="3AB7C0DB" w14:textId="77777777" w:rsidR="00FB3D09" w:rsidRPr="002A677E" w:rsidRDefault="00FB3D09" w:rsidP="00FB3D09">
      <w:pPr>
        <w:autoSpaceDE w:val="0"/>
        <w:autoSpaceDN w:val="0"/>
        <w:adjustRightInd w:val="0"/>
        <w:spacing w:before="0" w:after="240"/>
        <w:ind w:left="993"/>
        <w:jc w:val="left"/>
        <w:rPr>
          <w:rFonts w:ascii="Times New Roman" w:hAnsi="Times New Roman"/>
          <w:sz w:val="24"/>
        </w:rPr>
      </w:pPr>
      <w:r>
        <w:rPr>
          <w:rFonts w:ascii="Times New Roman" w:hAnsi="Times New Roman"/>
          <w:sz w:val="24"/>
        </w:rPr>
        <w:t>"SÌ" = se si utilizzano le stime interne della LGD e dei fattori di conversione del credito (IRB avanzato — A-IRB). Ciò comprende tutti i portafogli al dettaglio.</w:t>
      </w:r>
    </w:p>
    <w:p w14:paraId="366E5CCA" w14:textId="77777777" w:rsidR="00FB3D09" w:rsidRPr="002A677E" w:rsidRDefault="00FB3D09" w:rsidP="008A0FD4">
      <w:pPr>
        <w:autoSpaceDE w:val="0"/>
        <w:autoSpaceDN w:val="0"/>
        <w:adjustRightInd w:val="0"/>
        <w:spacing w:before="0" w:after="240"/>
        <w:ind w:left="993"/>
        <w:rPr>
          <w:rFonts w:ascii="Times New Roman" w:hAnsi="Times New Roman"/>
          <w:sz w:val="24"/>
        </w:rPr>
      </w:pPr>
      <w:r>
        <w:rPr>
          <w:rFonts w:ascii="Times New Roman" w:hAnsi="Times New Roman"/>
          <w:sz w:val="24"/>
        </w:rPr>
        <w:t xml:space="preserve">L'ente che utilizza stime interne della LGD per calcolare </w:t>
      </w:r>
      <w:r>
        <w:rPr>
          <w:rStyle w:val="InstructionsTabelleText"/>
          <w:rFonts w:ascii="Times New Roman" w:hAnsi="Times New Roman"/>
          <w:sz w:val="24"/>
        </w:rPr>
        <w:t>gli importi delle esposizioni ponderati per il rischio</w:t>
      </w:r>
      <w:r>
        <w:rPr>
          <w:rFonts w:ascii="Times New Roman" w:hAnsi="Times New Roman"/>
          <w:sz w:val="24"/>
        </w:rPr>
        <w:t xml:space="preserve"> di una parte delle proprie esposizioni cui è applicato il metodo IRB, e utilizza la LGD determinata dall'autorità di vigilanza per calcolare </w:t>
      </w:r>
      <w:r>
        <w:rPr>
          <w:rStyle w:val="InstructionsTabelleText"/>
          <w:rFonts w:ascii="Times New Roman" w:hAnsi="Times New Roman"/>
          <w:sz w:val="24"/>
        </w:rPr>
        <w:t>gli importi delle esposizioni ponderati per il rischio</w:t>
      </w:r>
      <w:r>
        <w:rPr>
          <w:rFonts w:ascii="Times New Roman" w:hAnsi="Times New Roman"/>
          <w:sz w:val="24"/>
        </w:rPr>
        <w:t xml:space="preserve"> dell'altra parte delle proprie esposizioni cui è applicato il metodo IRB, deve segnalare un CR IRB Total per le posizioni cui è applicato il metodo F-IRB e un CR IRB Total per le posizioni cui è applicato il metodo A-IRB.</w:t>
      </w:r>
    </w:p>
    <w:p w14:paraId="42EA72F2" w14:textId="77777777" w:rsidR="00FB3D09" w:rsidRPr="002A677E" w:rsidRDefault="00FB3D09" w:rsidP="00FB3D09">
      <w:pPr>
        <w:pStyle w:val="Instructionsberschrift2"/>
        <w:numPr>
          <w:ilvl w:val="0"/>
          <w:numId w:val="0"/>
        </w:numPr>
        <w:rPr>
          <w:rFonts w:ascii="Times New Roman" w:hAnsi="Times New Roman" w:cs="Times New Roman"/>
          <w:sz w:val="24"/>
        </w:rPr>
      </w:pPr>
      <w:bookmarkStart w:id="3" w:name="_Toc262568037"/>
      <w:bookmarkStart w:id="4" w:name="_Toc264038435"/>
      <w:bookmarkStart w:id="5" w:name="_Toc295829865"/>
      <w:bookmarkStart w:id="6" w:name="_Toc308155142"/>
      <w:bookmarkStart w:id="7" w:name="_Toc310415028"/>
      <w:bookmarkStart w:id="8" w:name="_Toc360188359"/>
      <w:bookmarkStart w:id="9" w:name="_Toc473560908"/>
      <w:bookmarkStart w:id="10" w:name="_Toc151714396"/>
      <w:r>
        <w:rPr>
          <w:rFonts w:ascii="Times New Roman" w:hAnsi="Times New Roman"/>
          <w:sz w:val="24"/>
          <w:u w:val="none"/>
        </w:rPr>
        <w:t>3.3.2.</w:t>
      </w:r>
      <w:r>
        <w:tab/>
      </w:r>
      <w:r>
        <w:rPr>
          <w:rFonts w:ascii="Times New Roman" w:hAnsi="Times New Roman"/>
          <w:sz w:val="24"/>
        </w:rPr>
        <w:t>Ripartizione del modello CR IRB</w:t>
      </w:r>
      <w:bookmarkEnd w:id="3"/>
      <w:bookmarkEnd w:id="4"/>
      <w:bookmarkEnd w:id="5"/>
      <w:bookmarkEnd w:id="6"/>
      <w:bookmarkEnd w:id="7"/>
      <w:bookmarkEnd w:id="8"/>
      <w:bookmarkEnd w:id="9"/>
      <w:bookmarkEnd w:id="10"/>
    </w:p>
    <w:p w14:paraId="37488548" w14:textId="1E62BF0E" w:rsidR="00FB3D09" w:rsidRDefault="00FB3D09" w:rsidP="00FB3D09">
      <w:pPr>
        <w:pStyle w:val="InstructionsText2"/>
        <w:numPr>
          <w:ilvl w:val="0"/>
          <w:numId w:val="0"/>
        </w:numPr>
        <w:ind w:left="993"/>
      </w:pPr>
      <w:r>
        <w:fldChar w:fldCharType="begin"/>
      </w:r>
      <w:r>
        <w:instrText>seq paragraphs</w:instrText>
      </w:r>
      <w:r>
        <w:fldChar w:fldCharType="separate"/>
      </w:r>
      <w:r>
        <w:t>76</w:t>
      </w:r>
      <w:r>
        <w:fldChar w:fldCharType="end"/>
      </w:r>
      <w:r>
        <w:t>.</w:t>
      </w:r>
      <w:r>
        <w:tab/>
        <w:t>Il modello CR IRB consta di sette modelli. Il modello CR IRB 1 offre un quadro generale delle esposizioni cui è applicato il metodo IRB e dei differenti metodi di calcolo degli importi dell'esposizione al rischio, nonché la ripartizione delle esposizioni totali in base al tipo di esposizione. Il modello CR IRB 2 indica la ripartizione delle esposizioni totali assegnate alle classi o ai pool di debitori (esposizioni segnalate nella riga 0070 del modello CR IRB 1). Il modello CR IRB 3 fornisce tutti i parametri pertinenti utilizzati per il calcolo dei requisiti patrimoniali per il rischio di credito per i modelli IRB. Il modello CR IRB 4 presenta un prospetto che illustra le variazioni degli importi delle esposizioni ponderati per il rischio determinati secondo il metodo IRB per il rischio di credito. Il modello CR IRB 5 fornisce informazioni sui risultati dei test retrospettivi delle PD per i modelli segnalati. Il modello CR IRB 6 fornisce tutti i parametri pertinenti utilizzati per il calcolo dei requisiti patrimoniali per il rischio di credito in base ai criteri di assegnazione per i finanziamenti specializzati. Il modello CR IRB 7 fornisce una panoramica della percentuale del valore dell'esposizione soggetta ai metodi SA o IRB per ciascuna classe di esposizioni pertinente. I modelli CR IRB 1, CR IRB 2, CR IRB 3 e CR IRB 5 sono segnalati separatamente per le seguenti classi di esposizioni e sottoesposizioni (una "voce per memoria" è segnalata separatamente come una sottoclasse di esposizioni, ma non è collegata al modello C 02.00 e non è parte del modello totale):</w:t>
      </w:r>
    </w:p>
    <w:p w14:paraId="23A3F056" w14:textId="64EA1880" w:rsidR="00FD1A9F" w:rsidRPr="00126E51" w:rsidRDefault="006B0F8A" w:rsidP="00126E51">
      <w:pPr>
        <w:autoSpaceDE w:val="0"/>
        <w:autoSpaceDN w:val="0"/>
        <w:adjustRightInd w:val="0"/>
        <w:spacing w:before="0" w:after="0"/>
        <w:ind w:left="708"/>
        <w:jc w:val="left"/>
        <w:rPr>
          <w:u w:val="single"/>
        </w:rPr>
      </w:pPr>
      <w:r>
        <w:rPr>
          <w:rFonts w:ascii="Times New Roman" w:hAnsi="Times New Roman"/>
          <w:sz w:val="24"/>
          <w:u w:val="single"/>
        </w:rPr>
        <w:lastRenderedPageBreak/>
        <w:t>A) Metodi IRB quando non si utilizzano stime interne della LGD né dei fattori di conversione (metodo IRB di base)</w:t>
      </w:r>
    </w:p>
    <w:p w14:paraId="742DED0D" w14:textId="6864C9DE" w:rsidR="00FB3D09" w:rsidRPr="00126E51" w:rsidRDefault="006B0F8A" w:rsidP="008A0FD4">
      <w:pPr>
        <w:autoSpaceDE w:val="0"/>
        <w:autoSpaceDN w:val="0"/>
        <w:adjustRightInd w:val="0"/>
        <w:spacing w:before="0" w:after="0"/>
        <w:ind w:left="708"/>
        <w:rPr>
          <w:rFonts w:ascii="Times New Roman" w:hAnsi="Times New Roman"/>
          <w:sz w:val="24"/>
        </w:rPr>
      </w:pPr>
      <w:r>
        <w:rPr>
          <w:rFonts w:ascii="Times New Roman" w:hAnsi="Times New Roman"/>
          <w:sz w:val="24"/>
        </w:rPr>
        <w:t>A.1)</w:t>
      </w:r>
      <w:r>
        <w:tab/>
      </w:r>
      <w:r>
        <w:rPr>
          <w:rFonts w:ascii="Times New Roman" w:hAnsi="Times New Roman"/>
          <w:sz w:val="24"/>
        </w:rPr>
        <w:t>Totale</w:t>
      </w:r>
    </w:p>
    <w:p w14:paraId="17E353AE" w14:textId="4D7B9170" w:rsidR="00FB3D09" w:rsidRPr="002A677E" w:rsidRDefault="006B0F8A" w:rsidP="008A0FD4">
      <w:pPr>
        <w:autoSpaceDE w:val="0"/>
        <w:autoSpaceDN w:val="0"/>
        <w:adjustRightInd w:val="0"/>
        <w:spacing w:before="0" w:after="0"/>
        <w:ind w:left="708"/>
        <w:rPr>
          <w:rFonts w:ascii="Times New Roman" w:hAnsi="Times New Roman"/>
          <w:sz w:val="24"/>
        </w:rPr>
      </w:pPr>
      <w:r>
        <w:rPr>
          <w:rFonts w:ascii="Times New Roman" w:hAnsi="Times New Roman"/>
          <w:sz w:val="24"/>
        </w:rPr>
        <w:t>A.2)</w:t>
      </w:r>
      <w:r>
        <w:tab/>
      </w:r>
      <w:r>
        <w:rPr>
          <w:rFonts w:ascii="Times New Roman" w:hAnsi="Times New Roman"/>
          <w:sz w:val="24"/>
        </w:rPr>
        <w:t xml:space="preserve">Banche centrali e amministrazioni centrali </w:t>
      </w:r>
    </w:p>
    <w:p w14:paraId="070E0717" w14:textId="77777777" w:rsidR="00FB3D09" w:rsidRDefault="00FB3D09" w:rsidP="008A0FD4">
      <w:pPr>
        <w:autoSpaceDE w:val="0"/>
        <w:autoSpaceDN w:val="0"/>
        <w:adjustRightInd w:val="0"/>
        <w:spacing w:before="0" w:after="0"/>
        <w:ind w:left="1428"/>
        <w:rPr>
          <w:rFonts w:ascii="Times New Roman" w:hAnsi="Times New Roman"/>
          <w:sz w:val="24"/>
        </w:rPr>
      </w:pPr>
      <w:r>
        <w:rPr>
          <w:rFonts w:ascii="Times New Roman" w:hAnsi="Times New Roman"/>
          <w:sz w:val="24"/>
        </w:rPr>
        <w:t>(Articolo 147, paragrafo 2, lettera a), del regolamento (UE) n. 575/2013)</w:t>
      </w:r>
    </w:p>
    <w:p w14:paraId="4032BEC5" w14:textId="47D8D1A7" w:rsidR="00FB3D09" w:rsidRPr="002A677E" w:rsidRDefault="006B0F8A" w:rsidP="008A0FD4">
      <w:pPr>
        <w:autoSpaceDE w:val="0"/>
        <w:autoSpaceDN w:val="0"/>
        <w:adjustRightInd w:val="0"/>
        <w:spacing w:before="0" w:after="0"/>
        <w:ind w:left="708"/>
        <w:rPr>
          <w:rFonts w:ascii="Times New Roman" w:hAnsi="Times New Roman"/>
          <w:sz w:val="24"/>
        </w:rPr>
      </w:pPr>
      <w:r>
        <w:rPr>
          <w:rFonts w:ascii="Times New Roman" w:hAnsi="Times New Roman"/>
          <w:sz w:val="24"/>
        </w:rPr>
        <w:t>A.3)</w:t>
      </w:r>
      <w:r>
        <w:tab/>
      </w:r>
      <w:r>
        <w:rPr>
          <w:rFonts w:ascii="Times New Roman" w:hAnsi="Times New Roman"/>
          <w:sz w:val="24"/>
        </w:rPr>
        <w:t xml:space="preserve">Amministrazioni regionali o autorità locali </w:t>
      </w:r>
    </w:p>
    <w:p w14:paraId="75CD54FE" w14:textId="4B4A74E8" w:rsidR="00FB3D09" w:rsidRPr="002A677E" w:rsidRDefault="00FB3D09" w:rsidP="008A0FD4">
      <w:pPr>
        <w:autoSpaceDE w:val="0"/>
        <w:autoSpaceDN w:val="0"/>
        <w:adjustRightInd w:val="0"/>
        <w:spacing w:before="0" w:after="0"/>
        <w:ind w:left="1428"/>
        <w:rPr>
          <w:rFonts w:ascii="Times New Roman" w:hAnsi="Times New Roman"/>
          <w:sz w:val="24"/>
        </w:rPr>
      </w:pPr>
      <w:r>
        <w:rPr>
          <w:rFonts w:ascii="Times New Roman" w:hAnsi="Times New Roman"/>
          <w:sz w:val="24"/>
        </w:rPr>
        <w:t>(Articolo 147, paragrafo 2, lettera a bis), punto i), del regolamento (UE) n. 575/2013)</w:t>
      </w:r>
    </w:p>
    <w:p w14:paraId="614294C6" w14:textId="22B674FD" w:rsidR="00FB3D09" w:rsidRPr="002A677E" w:rsidRDefault="006B0F8A" w:rsidP="008A0FD4">
      <w:pPr>
        <w:autoSpaceDE w:val="0"/>
        <w:autoSpaceDN w:val="0"/>
        <w:adjustRightInd w:val="0"/>
        <w:spacing w:before="0" w:after="0"/>
        <w:ind w:left="708"/>
        <w:rPr>
          <w:rFonts w:ascii="Times New Roman" w:hAnsi="Times New Roman"/>
          <w:sz w:val="24"/>
        </w:rPr>
      </w:pPr>
      <w:r>
        <w:rPr>
          <w:rFonts w:ascii="Times New Roman" w:hAnsi="Times New Roman"/>
          <w:sz w:val="24"/>
        </w:rPr>
        <w:t>A.4)</w:t>
      </w:r>
      <w:r>
        <w:tab/>
      </w:r>
      <w:r>
        <w:rPr>
          <w:rFonts w:ascii="Times New Roman" w:hAnsi="Times New Roman"/>
          <w:sz w:val="24"/>
        </w:rPr>
        <w:t>Organismi del settore pubblico</w:t>
      </w:r>
      <w:r w:rsidR="001A0ED8">
        <w:rPr>
          <w:rFonts w:ascii="Times New Roman" w:hAnsi="Times New Roman"/>
          <w:sz w:val="24"/>
        </w:rPr>
        <w:t xml:space="preserve"> </w:t>
      </w:r>
    </w:p>
    <w:p w14:paraId="52525D8D" w14:textId="056FDE6F" w:rsidR="00FB3D09" w:rsidRPr="002A677E" w:rsidRDefault="00FB3D09" w:rsidP="008A0FD4">
      <w:pPr>
        <w:autoSpaceDE w:val="0"/>
        <w:autoSpaceDN w:val="0"/>
        <w:adjustRightInd w:val="0"/>
        <w:spacing w:before="0" w:after="0"/>
        <w:ind w:left="1428"/>
        <w:rPr>
          <w:rFonts w:ascii="Times New Roman" w:hAnsi="Times New Roman"/>
          <w:sz w:val="24"/>
        </w:rPr>
      </w:pPr>
      <w:r>
        <w:rPr>
          <w:rFonts w:ascii="Times New Roman" w:hAnsi="Times New Roman"/>
          <w:sz w:val="24"/>
        </w:rPr>
        <w:t>(Articolo 147, paragrafo 2, lettera a bis), punto ii), del regolamento (UE) n. 575/2013)</w:t>
      </w:r>
    </w:p>
    <w:p w14:paraId="3CDBBA19" w14:textId="3B656C48" w:rsidR="00FB3D09" w:rsidRPr="002A677E" w:rsidRDefault="006B0F8A" w:rsidP="008A0FD4">
      <w:pPr>
        <w:autoSpaceDE w:val="0"/>
        <w:autoSpaceDN w:val="0"/>
        <w:adjustRightInd w:val="0"/>
        <w:spacing w:before="0" w:after="0"/>
        <w:ind w:left="708"/>
        <w:rPr>
          <w:rFonts w:ascii="Times New Roman" w:hAnsi="Times New Roman"/>
          <w:sz w:val="24"/>
        </w:rPr>
      </w:pPr>
      <w:r>
        <w:rPr>
          <w:rFonts w:ascii="Times New Roman" w:hAnsi="Times New Roman"/>
          <w:sz w:val="24"/>
        </w:rPr>
        <w:t>A.5)</w:t>
      </w:r>
      <w:r>
        <w:tab/>
      </w:r>
      <w:r>
        <w:rPr>
          <w:rFonts w:ascii="Times New Roman" w:hAnsi="Times New Roman"/>
          <w:sz w:val="24"/>
        </w:rPr>
        <w:t>Enti</w:t>
      </w:r>
    </w:p>
    <w:p w14:paraId="5A2EE4F2" w14:textId="3CF7CB17" w:rsidR="00FB3D09" w:rsidRDefault="00FB3D09" w:rsidP="008A0FD4">
      <w:pPr>
        <w:autoSpaceDE w:val="0"/>
        <w:autoSpaceDN w:val="0"/>
        <w:adjustRightInd w:val="0"/>
        <w:spacing w:before="0" w:after="0"/>
        <w:ind w:left="1416" w:firstLine="12"/>
        <w:rPr>
          <w:rFonts w:ascii="Times New Roman" w:hAnsi="Times New Roman"/>
          <w:sz w:val="24"/>
        </w:rPr>
      </w:pPr>
      <w:r>
        <w:rPr>
          <w:rFonts w:ascii="Times New Roman" w:hAnsi="Times New Roman"/>
          <w:sz w:val="24"/>
        </w:rPr>
        <w:t>(Articolo 147, paragrafo 2, lettera b), del regolamento (UE) n. 575/2013)</w:t>
      </w:r>
    </w:p>
    <w:p w14:paraId="5411EBAF" w14:textId="1E5C1A05" w:rsidR="00FB3D09" w:rsidRPr="002A677E" w:rsidRDefault="006B0F8A" w:rsidP="008A0FD4">
      <w:pPr>
        <w:autoSpaceDE w:val="0"/>
        <w:autoSpaceDN w:val="0"/>
        <w:adjustRightInd w:val="0"/>
        <w:spacing w:before="0" w:after="0"/>
        <w:ind w:left="708"/>
        <w:rPr>
          <w:rFonts w:ascii="Times New Roman" w:hAnsi="Times New Roman"/>
          <w:sz w:val="24"/>
        </w:rPr>
      </w:pPr>
      <w:r>
        <w:rPr>
          <w:rFonts w:ascii="Times New Roman" w:hAnsi="Times New Roman"/>
          <w:sz w:val="24"/>
        </w:rPr>
        <w:t>A.6.1)</w:t>
      </w:r>
      <w:r>
        <w:tab/>
      </w:r>
      <w:r>
        <w:rPr>
          <w:rFonts w:ascii="Times New Roman" w:hAnsi="Times New Roman"/>
          <w:sz w:val="24"/>
        </w:rPr>
        <w:t>Imprese — Finanziamenti specializzati</w:t>
      </w:r>
    </w:p>
    <w:p w14:paraId="4E8B7543" w14:textId="4E5EF733" w:rsidR="00FB3D09" w:rsidRDefault="00FB3D09" w:rsidP="008A0FD4">
      <w:pPr>
        <w:autoSpaceDE w:val="0"/>
        <w:autoSpaceDN w:val="0"/>
        <w:adjustRightInd w:val="0"/>
        <w:spacing w:before="0" w:after="0"/>
        <w:ind w:left="1428"/>
        <w:rPr>
          <w:rFonts w:ascii="Times New Roman" w:hAnsi="Times New Roman"/>
          <w:sz w:val="24"/>
        </w:rPr>
      </w:pPr>
      <w:r>
        <w:rPr>
          <w:rFonts w:ascii="Times New Roman" w:hAnsi="Times New Roman"/>
          <w:sz w:val="24"/>
        </w:rPr>
        <w:t>(Articolo 147, paragrafo 2, lettera c), punto ii), del regolamento (UE) n. 575/2013)</w:t>
      </w:r>
    </w:p>
    <w:p w14:paraId="571E5944" w14:textId="2E0E6AB8" w:rsidR="00FB3D09" w:rsidRPr="002A677E" w:rsidRDefault="006B0F8A" w:rsidP="008A0FD4">
      <w:pPr>
        <w:autoSpaceDE w:val="0"/>
        <w:autoSpaceDN w:val="0"/>
        <w:adjustRightInd w:val="0"/>
        <w:spacing w:before="0" w:after="0"/>
        <w:ind w:left="708"/>
        <w:rPr>
          <w:rFonts w:ascii="Times New Roman" w:hAnsi="Times New Roman"/>
          <w:sz w:val="24"/>
        </w:rPr>
      </w:pPr>
      <w:r>
        <w:rPr>
          <w:rFonts w:ascii="Times New Roman" w:hAnsi="Times New Roman"/>
          <w:sz w:val="24"/>
        </w:rPr>
        <w:t>A.6.2)</w:t>
      </w:r>
      <w:r w:rsidR="008A0FD4">
        <w:rPr>
          <w:rFonts w:ascii="Times New Roman" w:hAnsi="Times New Roman"/>
          <w:sz w:val="24"/>
        </w:rPr>
        <w:tab/>
      </w:r>
      <w:r>
        <w:rPr>
          <w:rFonts w:ascii="Times New Roman" w:hAnsi="Times New Roman"/>
          <w:sz w:val="24"/>
        </w:rPr>
        <w:t>Imprese - crediti acquistati</w:t>
      </w:r>
    </w:p>
    <w:p w14:paraId="1A7D2649" w14:textId="4FE9E262" w:rsidR="00E13BD0" w:rsidRDefault="00FB3D09" w:rsidP="008A0FD4">
      <w:pPr>
        <w:autoSpaceDE w:val="0"/>
        <w:autoSpaceDN w:val="0"/>
        <w:adjustRightInd w:val="0"/>
        <w:spacing w:before="0" w:after="0"/>
        <w:ind w:left="720" w:firstLine="720"/>
        <w:rPr>
          <w:rFonts w:ascii="Times New Roman" w:hAnsi="Times New Roman"/>
          <w:sz w:val="24"/>
        </w:rPr>
      </w:pPr>
      <w:r>
        <w:rPr>
          <w:rFonts w:ascii="Times New Roman" w:hAnsi="Times New Roman"/>
          <w:sz w:val="24"/>
        </w:rPr>
        <w:t>(Articolo 147, paragrafo 2, lettera c), del regolamento (UE) n. 575/2013)</w:t>
      </w:r>
    </w:p>
    <w:p w14:paraId="77FF0C8B" w14:textId="0F260419" w:rsidR="00FB3D09" w:rsidRPr="002A677E" w:rsidRDefault="006B0F8A" w:rsidP="008A0FD4">
      <w:pPr>
        <w:autoSpaceDE w:val="0"/>
        <w:autoSpaceDN w:val="0"/>
        <w:adjustRightInd w:val="0"/>
        <w:spacing w:before="0" w:after="0"/>
        <w:ind w:left="720"/>
        <w:rPr>
          <w:rFonts w:ascii="Times New Roman" w:hAnsi="Times New Roman"/>
          <w:sz w:val="24"/>
        </w:rPr>
      </w:pPr>
      <w:r>
        <w:rPr>
          <w:rFonts w:ascii="Times New Roman" w:hAnsi="Times New Roman"/>
          <w:sz w:val="24"/>
        </w:rPr>
        <w:t>A.6.3)</w:t>
      </w:r>
      <w:r>
        <w:tab/>
      </w:r>
      <w:r>
        <w:rPr>
          <w:rFonts w:ascii="Times New Roman" w:hAnsi="Times New Roman"/>
          <w:sz w:val="24"/>
        </w:rPr>
        <w:t xml:space="preserve">Imprese — Altre </w:t>
      </w:r>
    </w:p>
    <w:p w14:paraId="0E912CCE" w14:textId="24911A15" w:rsidR="00FB3D09" w:rsidRDefault="00FB3D09" w:rsidP="008A0FD4">
      <w:pPr>
        <w:autoSpaceDE w:val="0"/>
        <w:autoSpaceDN w:val="0"/>
        <w:adjustRightInd w:val="0"/>
        <w:spacing w:before="0" w:after="0"/>
        <w:ind w:left="1428"/>
        <w:rPr>
          <w:rFonts w:ascii="Times New Roman" w:hAnsi="Times New Roman"/>
          <w:sz w:val="24"/>
        </w:rPr>
      </w:pPr>
      <w:r>
        <w:rPr>
          <w:rFonts w:ascii="Times New Roman" w:hAnsi="Times New Roman"/>
          <w:sz w:val="24"/>
        </w:rPr>
        <w:t>(Articolo 147, paragrafo 2, lettera c), punto i), del regolamento (UE) n. 575/2013).</w:t>
      </w:r>
    </w:p>
    <w:p w14:paraId="486BF9E6" w14:textId="5A049D2E" w:rsidR="0029349B" w:rsidRPr="00874942" w:rsidRDefault="0029349B" w:rsidP="008A0FD4">
      <w:pPr>
        <w:autoSpaceDE w:val="0"/>
        <w:autoSpaceDN w:val="0"/>
        <w:adjustRightInd w:val="0"/>
        <w:spacing w:before="0" w:after="0"/>
        <w:ind w:left="708"/>
        <w:rPr>
          <w:rFonts w:ascii="Times New Roman" w:hAnsi="Times New Roman"/>
          <w:sz w:val="24"/>
        </w:rPr>
      </w:pPr>
      <w:r>
        <w:rPr>
          <w:rFonts w:ascii="Times New Roman" w:hAnsi="Times New Roman"/>
          <w:sz w:val="24"/>
        </w:rPr>
        <w:t>A.6.4)</w:t>
      </w:r>
      <w:r w:rsidR="008A0FD4">
        <w:rPr>
          <w:rFonts w:ascii="Times New Roman" w:hAnsi="Times New Roman"/>
          <w:sz w:val="24"/>
        </w:rPr>
        <w:tab/>
      </w:r>
      <w:r>
        <w:rPr>
          <w:rFonts w:ascii="Times New Roman" w:hAnsi="Times New Roman"/>
          <w:sz w:val="24"/>
        </w:rPr>
        <w:t>Voce per memoria: Imprese — grandi imprese</w:t>
      </w:r>
    </w:p>
    <w:p w14:paraId="715EBD40" w14:textId="150CC2BB" w:rsidR="0029349B" w:rsidRDefault="0029349B" w:rsidP="008A0FD4">
      <w:pPr>
        <w:pStyle w:val="ListParagraph"/>
        <w:autoSpaceDE w:val="0"/>
        <w:autoSpaceDN w:val="0"/>
        <w:adjustRightInd w:val="0"/>
        <w:spacing w:before="0" w:after="0"/>
        <w:ind w:left="1440"/>
        <w:rPr>
          <w:rFonts w:ascii="Times New Roman" w:hAnsi="Times New Roman"/>
          <w:sz w:val="24"/>
        </w:rPr>
      </w:pPr>
      <w:r>
        <w:rPr>
          <w:rFonts w:ascii="Times New Roman" w:hAnsi="Times New Roman"/>
          <w:sz w:val="24"/>
        </w:rPr>
        <w:t>(Articolo 147, paragrafo 2, lettera c), del regolamento (UE) n. 575/2013, articolo 142, paragrafo 1, in combinato disposto con il punto 5 bis del regolamento (UE) n. 575/2013)</w:t>
      </w:r>
    </w:p>
    <w:p w14:paraId="5A8F3224" w14:textId="1929B0F7" w:rsidR="0029349B" w:rsidRPr="00874942" w:rsidRDefault="0029349B" w:rsidP="008A0FD4">
      <w:pPr>
        <w:autoSpaceDE w:val="0"/>
        <w:autoSpaceDN w:val="0"/>
        <w:adjustRightInd w:val="0"/>
        <w:spacing w:before="0" w:after="0"/>
        <w:ind w:left="708"/>
        <w:rPr>
          <w:rFonts w:ascii="Times New Roman" w:hAnsi="Times New Roman"/>
          <w:sz w:val="24"/>
        </w:rPr>
      </w:pPr>
      <w:r>
        <w:rPr>
          <w:rFonts w:ascii="Times New Roman" w:hAnsi="Times New Roman"/>
          <w:sz w:val="24"/>
        </w:rPr>
        <w:t>A.6.5)</w:t>
      </w:r>
      <w:r w:rsidR="008A0FD4">
        <w:rPr>
          <w:rFonts w:ascii="Times New Roman" w:hAnsi="Times New Roman"/>
          <w:sz w:val="24"/>
        </w:rPr>
        <w:tab/>
      </w:r>
      <w:r>
        <w:rPr>
          <w:rFonts w:ascii="Times New Roman" w:hAnsi="Times New Roman"/>
          <w:sz w:val="24"/>
        </w:rPr>
        <w:t>Voce per memoria: Imprese — PMI</w:t>
      </w:r>
    </w:p>
    <w:p w14:paraId="42836C84" w14:textId="124ED090" w:rsidR="0029349B" w:rsidRPr="00EF2302" w:rsidRDefault="0029349B" w:rsidP="008A0FD4">
      <w:pPr>
        <w:pStyle w:val="ListParagraph"/>
        <w:autoSpaceDE w:val="0"/>
        <w:autoSpaceDN w:val="0"/>
        <w:adjustRightInd w:val="0"/>
        <w:spacing w:before="0" w:after="0"/>
        <w:ind w:left="1418"/>
        <w:rPr>
          <w:rFonts w:ascii="Times New Roman" w:hAnsi="Times New Roman"/>
          <w:sz w:val="24"/>
        </w:rPr>
      </w:pPr>
      <w:r>
        <w:rPr>
          <w:rFonts w:ascii="Times New Roman" w:hAnsi="Times New Roman"/>
          <w:sz w:val="24"/>
        </w:rPr>
        <w:t>(Articolo 147, paragrafo 2, punto I, del regolamento (UE) n. 575/2013, in combinato disposto con l'articolo 5, paragrafo 8, del regolamento (UE) n. 575/2013)</w:t>
      </w:r>
    </w:p>
    <w:p w14:paraId="23564959" w14:textId="77777777" w:rsidR="00B949C3" w:rsidRDefault="00B949C3" w:rsidP="00FB3D09">
      <w:pPr>
        <w:autoSpaceDE w:val="0"/>
        <w:autoSpaceDN w:val="0"/>
        <w:adjustRightInd w:val="0"/>
        <w:spacing w:before="0" w:after="0"/>
        <w:ind w:left="1428"/>
        <w:jc w:val="left"/>
        <w:rPr>
          <w:rFonts w:ascii="Times New Roman" w:hAnsi="Times New Roman"/>
          <w:sz w:val="24"/>
          <w:lang w:eastAsia="de-DE"/>
        </w:rPr>
      </w:pPr>
    </w:p>
    <w:p w14:paraId="52CFD6D7" w14:textId="37695D5F" w:rsidR="00B949C3" w:rsidRPr="00126E51" w:rsidRDefault="006013AC" w:rsidP="008A0FD4">
      <w:pPr>
        <w:autoSpaceDE w:val="0"/>
        <w:autoSpaceDN w:val="0"/>
        <w:adjustRightInd w:val="0"/>
        <w:spacing w:before="0" w:after="0"/>
        <w:ind w:left="1418" w:hanging="710"/>
        <w:rPr>
          <w:rFonts w:ascii="Times New Roman" w:hAnsi="Times New Roman"/>
          <w:sz w:val="24"/>
          <w:u w:val="single"/>
        </w:rPr>
      </w:pPr>
      <w:r>
        <w:rPr>
          <w:rFonts w:ascii="Times New Roman" w:hAnsi="Times New Roman"/>
          <w:sz w:val="24"/>
          <w:u w:val="single"/>
        </w:rPr>
        <w:t>B)</w:t>
      </w:r>
      <w:r w:rsidR="008A0FD4">
        <w:rPr>
          <w:rFonts w:ascii="Times New Roman" w:hAnsi="Times New Roman"/>
          <w:sz w:val="24"/>
          <w:u w:val="single"/>
        </w:rPr>
        <w:tab/>
      </w:r>
      <w:r>
        <w:rPr>
          <w:rFonts w:ascii="Times New Roman" w:hAnsi="Times New Roman"/>
          <w:sz w:val="24"/>
          <w:u w:val="single"/>
        </w:rPr>
        <w:t>Metodi IRB quando si utilizzano stime interne della LGD e/o dei fattori di conversione</w:t>
      </w:r>
    </w:p>
    <w:p w14:paraId="31E1DC0E" w14:textId="5BBBD0A6" w:rsidR="006013AC" w:rsidRPr="00CF47EA" w:rsidRDefault="009D125A" w:rsidP="008A0FD4">
      <w:pPr>
        <w:autoSpaceDE w:val="0"/>
        <w:autoSpaceDN w:val="0"/>
        <w:adjustRightInd w:val="0"/>
        <w:spacing w:before="0" w:after="0"/>
        <w:ind w:left="708"/>
        <w:rPr>
          <w:rFonts w:ascii="Times New Roman" w:hAnsi="Times New Roman"/>
          <w:sz w:val="24"/>
        </w:rPr>
      </w:pPr>
      <w:r>
        <w:rPr>
          <w:rFonts w:ascii="Times New Roman" w:hAnsi="Times New Roman"/>
          <w:sz w:val="24"/>
        </w:rPr>
        <w:t xml:space="preserve">B.1) </w:t>
      </w:r>
      <w:r>
        <w:tab/>
      </w:r>
      <w:r>
        <w:rPr>
          <w:rFonts w:ascii="Times New Roman" w:hAnsi="Times New Roman"/>
          <w:sz w:val="24"/>
        </w:rPr>
        <w:t>Totale</w:t>
      </w:r>
    </w:p>
    <w:p w14:paraId="2607EE3C" w14:textId="4BBA570A" w:rsidR="006013AC" w:rsidRPr="002A677E" w:rsidRDefault="009D125A" w:rsidP="008A0FD4">
      <w:pPr>
        <w:autoSpaceDE w:val="0"/>
        <w:autoSpaceDN w:val="0"/>
        <w:adjustRightInd w:val="0"/>
        <w:spacing w:before="0" w:after="0"/>
        <w:ind w:left="708"/>
        <w:rPr>
          <w:rFonts w:ascii="Times New Roman" w:hAnsi="Times New Roman"/>
          <w:sz w:val="24"/>
        </w:rPr>
      </w:pPr>
      <w:r>
        <w:rPr>
          <w:rFonts w:ascii="Times New Roman" w:hAnsi="Times New Roman"/>
          <w:sz w:val="24"/>
        </w:rPr>
        <w:t>B.2)</w:t>
      </w:r>
      <w:r>
        <w:tab/>
      </w:r>
      <w:r>
        <w:rPr>
          <w:rFonts w:ascii="Times New Roman" w:hAnsi="Times New Roman"/>
          <w:sz w:val="24"/>
        </w:rPr>
        <w:t xml:space="preserve">Banche centrali e amministrazioni centrali </w:t>
      </w:r>
    </w:p>
    <w:p w14:paraId="194B4B2A" w14:textId="77777777" w:rsidR="006013AC" w:rsidRDefault="006013AC" w:rsidP="008A0FD4">
      <w:pPr>
        <w:autoSpaceDE w:val="0"/>
        <w:autoSpaceDN w:val="0"/>
        <w:adjustRightInd w:val="0"/>
        <w:spacing w:before="0" w:after="0"/>
        <w:ind w:left="1428"/>
        <w:rPr>
          <w:rFonts w:ascii="Times New Roman" w:hAnsi="Times New Roman"/>
          <w:sz w:val="24"/>
        </w:rPr>
      </w:pPr>
      <w:r>
        <w:rPr>
          <w:rFonts w:ascii="Times New Roman" w:hAnsi="Times New Roman"/>
          <w:sz w:val="24"/>
        </w:rPr>
        <w:t>(Articolo 147, paragrafo 2, lettera a), del regolamento (UE) n. 575/2013)</w:t>
      </w:r>
    </w:p>
    <w:p w14:paraId="788F5C27" w14:textId="060EA0B3" w:rsidR="006013AC" w:rsidRPr="002A677E" w:rsidRDefault="009D125A" w:rsidP="008A0FD4">
      <w:pPr>
        <w:autoSpaceDE w:val="0"/>
        <w:autoSpaceDN w:val="0"/>
        <w:adjustRightInd w:val="0"/>
        <w:spacing w:before="0" w:after="0"/>
        <w:ind w:left="708"/>
        <w:rPr>
          <w:rFonts w:ascii="Times New Roman" w:hAnsi="Times New Roman"/>
          <w:sz w:val="24"/>
        </w:rPr>
      </w:pPr>
      <w:r>
        <w:rPr>
          <w:rFonts w:ascii="Times New Roman" w:hAnsi="Times New Roman"/>
          <w:sz w:val="24"/>
        </w:rPr>
        <w:t>B.3)</w:t>
      </w:r>
      <w:r>
        <w:tab/>
      </w:r>
      <w:r>
        <w:rPr>
          <w:rFonts w:ascii="Times New Roman" w:hAnsi="Times New Roman"/>
          <w:sz w:val="24"/>
        </w:rPr>
        <w:t xml:space="preserve">Amministrazioni regionali o autorità locali </w:t>
      </w:r>
    </w:p>
    <w:p w14:paraId="2ECF3277" w14:textId="77777777" w:rsidR="006013AC" w:rsidRPr="002A677E" w:rsidRDefault="006013AC" w:rsidP="008A0FD4">
      <w:pPr>
        <w:autoSpaceDE w:val="0"/>
        <w:autoSpaceDN w:val="0"/>
        <w:adjustRightInd w:val="0"/>
        <w:spacing w:before="0" w:after="0"/>
        <w:ind w:left="1428"/>
        <w:rPr>
          <w:rFonts w:ascii="Times New Roman" w:hAnsi="Times New Roman"/>
          <w:sz w:val="24"/>
        </w:rPr>
      </w:pPr>
      <w:r>
        <w:rPr>
          <w:rFonts w:ascii="Times New Roman" w:hAnsi="Times New Roman"/>
          <w:sz w:val="24"/>
        </w:rPr>
        <w:t>(Articolo 147, paragrafo 2, lettera a bis), punto i), del regolamento (UE) n. 575/2013)</w:t>
      </w:r>
    </w:p>
    <w:p w14:paraId="5DCFC117" w14:textId="025571C2" w:rsidR="006013AC" w:rsidRPr="002A677E" w:rsidRDefault="009D125A" w:rsidP="008A0FD4">
      <w:pPr>
        <w:autoSpaceDE w:val="0"/>
        <w:autoSpaceDN w:val="0"/>
        <w:adjustRightInd w:val="0"/>
        <w:spacing w:before="0" w:after="0"/>
        <w:ind w:left="708"/>
        <w:rPr>
          <w:rFonts w:ascii="Times New Roman" w:hAnsi="Times New Roman"/>
          <w:sz w:val="24"/>
        </w:rPr>
      </w:pPr>
      <w:r>
        <w:rPr>
          <w:rFonts w:ascii="Times New Roman" w:hAnsi="Times New Roman"/>
          <w:sz w:val="24"/>
        </w:rPr>
        <w:t>B.4)</w:t>
      </w:r>
      <w:r>
        <w:tab/>
      </w:r>
      <w:r>
        <w:rPr>
          <w:rFonts w:ascii="Times New Roman" w:hAnsi="Times New Roman"/>
          <w:sz w:val="24"/>
        </w:rPr>
        <w:t>Organismi del settore pubblico</w:t>
      </w:r>
      <w:r w:rsidR="001A0ED8">
        <w:rPr>
          <w:rFonts w:ascii="Times New Roman" w:hAnsi="Times New Roman"/>
          <w:sz w:val="24"/>
        </w:rPr>
        <w:t xml:space="preserve"> </w:t>
      </w:r>
    </w:p>
    <w:p w14:paraId="062F8299" w14:textId="77777777" w:rsidR="006013AC" w:rsidRPr="002A677E" w:rsidRDefault="006013AC" w:rsidP="008A0FD4">
      <w:pPr>
        <w:autoSpaceDE w:val="0"/>
        <w:autoSpaceDN w:val="0"/>
        <w:adjustRightInd w:val="0"/>
        <w:spacing w:before="0" w:after="0"/>
        <w:ind w:left="1428"/>
        <w:rPr>
          <w:rFonts w:ascii="Times New Roman" w:hAnsi="Times New Roman"/>
          <w:sz w:val="24"/>
        </w:rPr>
      </w:pPr>
      <w:r>
        <w:rPr>
          <w:rFonts w:ascii="Times New Roman" w:hAnsi="Times New Roman"/>
          <w:sz w:val="24"/>
        </w:rPr>
        <w:t>(Articolo 147, paragrafo 2, lettera a bis), punto ii), del regolamento (UE) n. 575/2013)</w:t>
      </w:r>
    </w:p>
    <w:p w14:paraId="698D8E50" w14:textId="3BD81666" w:rsidR="006013AC" w:rsidRPr="002A677E" w:rsidRDefault="009D125A" w:rsidP="008A0FD4">
      <w:pPr>
        <w:autoSpaceDE w:val="0"/>
        <w:autoSpaceDN w:val="0"/>
        <w:adjustRightInd w:val="0"/>
        <w:spacing w:before="0" w:after="0"/>
        <w:ind w:left="708"/>
        <w:rPr>
          <w:rFonts w:ascii="Times New Roman" w:hAnsi="Times New Roman"/>
          <w:sz w:val="24"/>
        </w:rPr>
      </w:pPr>
      <w:r>
        <w:rPr>
          <w:rFonts w:ascii="Times New Roman" w:hAnsi="Times New Roman"/>
          <w:sz w:val="24"/>
        </w:rPr>
        <w:t>B.5.1)</w:t>
      </w:r>
      <w:r>
        <w:tab/>
      </w:r>
      <w:r>
        <w:rPr>
          <w:rFonts w:ascii="Times New Roman" w:hAnsi="Times New Roman"/>
          <w:sz w:val="24"/>
        </w:rPr>
        <w:t>Imprese — Finanziamenti specializzati</w:t>
      </w:r>
    </w:p>
    <w:p w14:paraId="7699809B" w14:textId="4B162F04" w:rsidR="006013AC" w:rsidRDefault="006013AC" w:rsidP="008A0FD4">
      <w:pPr>
        <w:autoSpaceDE w:val="0"/>
        <w:autoSpaceDN w:val="0"/>
        <w:adjustRightInd w:val="0"/>
        <w:spacing w:before="0" w:after="0"/>
        <w:ind w:left="1428"/>
        <w:rPr>
          <w:rFonts w:ascii="Times New Roman" w:hAnsi="Times New Roman"/>
          <w:sz w:val="24"/>
        </w:rPr>
      </w:pPr>
      <w:r>
        <w:rPr>
          <w:rFonts w:ascii="Times New Roman" w:hAnsi="Times New Roman"/>
          <w:sz w:val="24"/>
        </w:rPr>
        <w:t>(Articolo 147, paragrafo 2, lettera I, punto ii), del regolamento (UE) n. 575/2013)</w:t>
      </w:r>
    </w:p>
    <w:p w14:paraId="79E7A993" w14:textId="15281194" w:rsidR="006013AC" w:rsidRPr="002A677E" w:rsidRDefault="009D125A" w:rsidP="008A0FD4">
      <w:pPr>
        <w:autoSpaceDE w:val="0"/>
        <w:autoSpaceDN w:val="0"/>
        <w:adjustRightInd w:val="0"/>
        <w:spacing w:before="0" w:after="0"/>
        <w:ind w:left="708"/>
        <w:rPr>
          <w:rFonts w:ascii="Times New Roman" w:hAnsi="Times New Roman"/>
          <w:sz w:val="24"/>
        </w:rPr>
      </w:pPr>
      <w:r>
        <w:rPr>
          <w:rFonts w:ascii="Times New Roman" w:hAnsi="Times New Roman"/>
          <w:sz w:val="24"/>
        </w:rPr>
        <w:t>B.5.2)</w:t>
      </w:r>
      <w:r w:rsidR="008A0FD4">
        <w:rPr>
          <w:rFonts w:ascii="Times New Roman" w:hAnsi="Times New Roman"/>
          <w:sz w:val="24"/>
        </w:rPr>
        <w:tab/>
      </w:r>
      <w:r>
        <w:rPr>
          <w:rFonts w:ascii="Times New Roman" w:hAnsi="Times New Roman"/>
          <w:sz w:val="24"/>
        </w:rPr>
        <w:t>Imprese - crediti acquistati</w:t>
      </w:r>
    </w:p>
    <w:p w14:paraId="47616290" w14:textId="5372C532" w:rsidR="006013AC" w:rsidRDefault="006013AC" w:rsidP="008A0FD4">
      <w:pPr>
        <w:autoSpaceDE w:val="0"/>
        <w:autoSpaceDN w:val="0"/>
        <w:adjustRightInd w:val="0"/>
        <w:spacing w:before="0" w:after="0"/>
        <w:ind w:left="1440"/>
        <w:rPr>
          <w:rFonts w:ascii="Times New Roman" w:hAnsi="Times New Roman"/>
          <w:sz w:val="24"/>
        </w:rPr>
      </w:pPr>
      <w:r>
        <w:rPr>
          <w:rFonts w:ascii="Times New Roman" w:hAnsi="Times New Roman"/>
          <w:sz w:val="24"/>
        </w:rPr>
        <w:t>Articolo 147, paragrafo 2, lettera I), punto iii), del regolamento (UE) n. 575/2013)</w:t>
      </w:r>
    </w:p>
    <w:p w14:paraId="7E0F1962" w14:textId="1EC228E7" w:rsidR="006013AC" w:rsidRPr="002A677E" w:rsidRDefault="009D125A" w:rsidP="008A0FD4">
      <w:pPr>
        <w:autoSpaceDE w:val="0"/>
        <w:autoSpaceDN w:val="0"/>
        <w:adjustRightInd w:val="0"/>
        <w:spacing w:before="0" w:after="0"/>
        <w:ind w:left="720"/>
        <w:rPr>
          <w:rFonts w:ascii="Times New Roman" w:hAnsi="Times New Roman"/>
          <w:sz w:val="24"/>
        </w:rPr>
      </w:pPr>
      <w:r>
        <w:rPr>
          <w:rFonts w:ascii="Times New Roman" w:hAnsi="Times New Roman"/>
          <w:sz w:val="24"/>
        </w:rPr>
        <w:t>B.5.3)</w:t>
      </w:r>
      <w:r>
        <w:tab/>
      </w:r>
      <w:r>
        <w:rPr>
          <w:rFonts w:ascii="Times New Roman" w:hAnsi="Times New Roman"/>
          <w:sz w:val="24"/>
        </w:rPr>
        <w:t xml:space="preserve">Imprese — Altre </w:t>
      </w:r>
    </w:p>
    <w:p w14:paraId="7C24044A" w14:textId="31456617" w:rsidR="00CD1BFF" w:rsidRDefault="006013AC" w:rsidP="008A0FD4">
      <w:pPr>
        <w:autoSpaceDE w:val="0"/>
        <w:autoSpaceDN w:val="0"/>
        <w:adjustRightInd w:val="0"/>
        <w:spacing w:before="0" w:after="0"/>
        <w:ind w:left="1428"/>
        <w:rPr>
          <w:rFonts w:ascii="Times New Roman" w:hAnsi="Times New Roman"/>
          <w:sz w:val="24"/>
        </w:rPr>
      </w:pPr>
      <w:r>
        <w:rPr>
          <w:rFonts w:ascii="Times New Roman" w:hAnsi="Times New Roman"/>
          <w:sz w:val="24"/>
        </w:rPr>
        <w:t>(Articolo 147, paragrafo 2, lettera I), punto i), del regolamento (UE) n. 575/2013)</w:t>
      </w:r>
    </w:p>
    <w:p w14:paraId="0D9A4B56" w14:textId="0307DF43" w:rsidR="008A3C6B" w:rsidRPr="00CF47EA" w:rsidRDefault="008A3C6B" w:rsidP="008A0FD4">
      <w:pPr>
        <w:autoSpaceDE w:val="0"/>
        <w:autoSpaceDN w:val="0"/>
        <w:adjustRightInd w:val="0"/>
        <w:spacing w:before="0" w:after="0"/>
        <w:ind w:left="708"/>
        <w:rPr>
          <w:rFonts w:ascii="Times New Roman" w:hAnsi="Times New Roman"/>
          <w:sz w:val="24"/>
        </w:rPr>
      </w:pPr>
      <w:r>
        <w:rPr>
          <w:rFonts w:ascii="Times New Roman" w:hAnsi="Times New Roman"/>
          <w:sz w:val="24"/>
        </w:rPr>
        <w:lastRenderedPageBreak/>
        <w:t>B.5.4)</w:t>
      </w:r>
      <w:r w:rsidR="008A0FD4">
        <w:rPr>
          <w:rFonts w:ascii="Times New Roman" w:hAnsi="Times New Roman"/>
          <w:sz w:val="24"/>
        </w:rPr>
        <w:tab/>
      </w:r>
      <w:r>
        <w:rPr>
          <w:rFonts w:ascii="Times New Roman" w:hAnsi="Times New Roman"/>
          <w:sz w:val="24"/>
        </w:rPr>
        <w:t>Voce per memoria: Imprese — grandi imprese</w:t>
      </w:r>
    </w:p>
    <w:p w14:paraId="7348E5D3" w14:textId="77777777" w:rsidR="008A3C6B" w:rsidRDefault="008A3C6B" w:rsidP="008A0FD4">
      <w:pPr>
        <w:pStyle w:val="ListParagraph"/>
        <w:autoSpaceDE w:val="0"/>
        <w:autoSpaceDN w:val="0"/>
        <w:adjustRightInd w:val="0"/>
        <w:spacing w:before="0" w:after="0"/>
        <w:ind w:left="1440"/>
        <w:rPr>
          <w:rFonts w:ascii="Times New Roman" w:hAnsi="Times New Roman"/>
          <w:sz w:val="24"/>
        </w:rPr>
      </w:pPr>
      <w:r>
        <w:rPr>
          <w:rFonts w:ascii="Times New Roman" w:hAnsi="Times New Roman"/>
          <w:sz w:val="24"/>
        </w:rPr>
        <w:t>(Articolo 147, paragrafo 2, lettera c), del regolamento (UE) n. 575/2013, articolo 142, paragrafo 1, in combinato disposto con il punto 5 bis del regolamento (UE) n. 575/2013)</w:t>
      </w:r>
    </w:p>
    <w:p w14:paraId="4EA5C9B6" w14:textId="635F4E55" w:rsidR="008A3C6B" w:rsidRPr="00CF47EA" w:rsidRDefault="008A3C6B" w:rsidP="008A0FD4">
      <w:pPr>
        <w:autoSpaceDE w:val="0"/>
        <w:autoSpaceDN w:val="0"/>
        <w:adjustRightInd w:val="0"/>
        <w:spacing w:before="0" w:after="0"/>
        <w:ind w:left="708"/>
        <w:rPr>
          <w:rFonts w:ascii="Times New Roman" w:hAnsi="Times New Roman"/>
          <w:sz w:val="24"/>
        </w:rPr>
      </w:pPr>
      <w:r>
        <w:rPr>
          <w:rFonts w:ascii="Times New Roman" w:hAnsi="Times New Roman"/>
          <w:sz w:val="24"/>
        </w:rPr>
        <w:t>B.5.6)</w:t>
      </w:r>
      <w:r w:rsidR="008A0FD4">
        <w:rPr>
          <w:rFonts w:ascii="Times New Roman" w:hAnsi="Times New Roman"/>
          <w:sz w:val="24"/>
        </w:rPr>
        <w:tab/>
      </w:r>
      <w:r>
        <w:rPr>
          <w:rFonts w:ascii="Times New Roman" w:hAnsi="Times New Roman"/>
          <w:sz w:val="24"/>
        </w:rPr>
        <w:t>Voce per memoria: Imprese — PMI</w:t>
      </w:r>
    </w:p>
    <w:p w14:paraId="327F10F1" w14:textId="086997C1" w:rsidR="008A3C6B" w:rsidRDefault="008A3C6B" w:rsidP="008A0FD4">
      <w:pPr>
        <w:pStyle w:val="ListParagraph"/>
        <w:autoSpaceDE w:val="0"/>
        <w:autoSpaceDN w:val="0"/>
        <w:adjustRightInd w:val="0"/>
        <w:spacing w:before="0" w:after="0"/>
        <w:ind w:left="1418"/>
        <w:rPr>
          <w:rFonts w:ascii="Times New Roman" w:hAnsi="Times New Roman"/>
          <w:sz w:val="24"/>
        </w:rPr>
      </w:pPr>
      <w:r>
        <w:rPr>
          <w:rFonts w:ascii="Times New Roman" w:hAnsi="Times New Roman"/>
          <w:sz w:val="24"/>
        </w:rPr>
        <w:t>(Articolo 147, paragrafo 2, lettera c), del regolamento (UE) n. 575/2013, in combinato disposto con l'articolo 5, paragrafo 8, del regolamento (UE) n. 575/2013)</w:t>
      </w:r>
    </w:p>
    <w:p w14:paraId="72709B7F" w14:textId="0A3CA0B0" w:rsidR="00FB3D09" w:rsidRPr="002A677E" w:rsidRDefault="009D125A" w:rsidP="008A0FD4">
      <w:pPr>
        <w:autoSpaceDE w:val="0"/>
        <w:autoSpaceDN w:val="0"/>
        <w:adjustRightInd w:val="0"/>
        <w:spacing w:before="0" w:after="0"/>
        <w:ind w:left="708"/>
        <w:rPr>
          <w:rFonts w:ascii="Times New Roman" w:hAnsi="Times New Roman"/>
          <w:sz w:val="24"/>
        </w:rPr>
      </w:pPr>
      <w:r>
        <w:rPr>
          <w:rFonts w:ascii="Times New Roman" w:hAnsi="Times New Roman"/>
          <w:sz w:val="24"/>
        </w:rPr>
        <w:t>B.6.1)</w:t>
      </w:r>
      <w:r>
        <w:tab/>
      </w:r>
      <w:r>
        <w:rPr>
          <w:rFonts w:ascii="Times New Roman" w:hAnsi="Times New Roman"/>
          <w:sz w:val="24"/>
        </w:rPr>
        <w:t xml:space="preserve">Al dettaglio - garantiti da immobili residenziali </w:t>
      </w:r>
    </w:p>
    <w:p w14:paraId="650A4DF9" w14:textId="5707BF26" w:rsidR="00FB3D09" w:rsidRPr="002A677E" w:rsidRDefault="00FB3D09" w:rsidP="008A0FD4">
      <w:pPr>
        <w:autoSpaceDE w:val="0"/>
        <w:autoSpaceDN w:val="0"/>
        <w:adjustRightInd w:val="0"/>
        <w:spacing w:before="0" w:after="0"/>
        <w:ind w:left="1428"/>
        <w:rPr>
          <w:rFonts w:ascii="Times New Roman" w:hAnsi="Times New Roman"/>
          <w:sz w:val="24"/>
        </w:rPr>
      </w:pPr>
      <w:r>
        <w:rPr>
          <w:rFonts w:ascii="Times New Roman" w:hAnsi="Times New Roman"/>
          <w:sz w:val="24"/>
        </w:rPr>
        <w:t>(Le esposizioni al dettaglio di cui all'articolo 147, paragrafo 2, lettera d), punto</w:t>
      </w:r>
      <w:r w:rsidR="008A0FD4">
        <w:rPr>
          <w:rFonts w:ascii="Times New Roman" w:hAnsi="Times New Roman"/>
          <w:sz w:val="24"/>
        </w:rPr>
        <w:t> </w:t>
      </w:r>
      <w:r>
        <w:rPr>
          <w:rFonts w:ascii="Times New Roman" w:hAnsi="Times New Roman"/>
          <w:sz w:val="24"/>
        </w:rPr>
        <w:t>ii), del regolamento (UE) n. 575/2013</w:t>
      </w:r>
    </w:p>
    <w:p w14:paraId="2ECC4965" w14:textId="776EA69B" w:rsidR="00A54B9F" w:rsidRDefault="000C3D68" w:rsidP="008A0FD4">
      <w:pPr>
        <w:autoSpaceDE w:val="0"/>
        <w:autoSpaceDN w:val="0"/>
        <w:adjustRightInd w:val="0"/>
        <w:spacing w:before="0" w:after="0"/>
        <w:ind w:left="1428"/>
        <w:rPr>
          <w:rFonts w:ascii="Times New Roman" w:hAnsi="Times New Roman"/>
          <w:sz w:val="24"/>
        </w:rPr>
      </w:pPr>
      <w:r>
        <w:rPr>
          <w:rFonts w:ascii="Times New Roman" w:hAnsi="Times New Roman"/>
          <w:sz w:val="24"/>
        </w:rPr>
        <w:t>In questa categoria.</w:t>
      </w:r>
    </w:p>
    <w:p w14:paraId="4F591501" w14:textId="3C2A575C" w:rsidR="00FB3D09" w:rsidRPr="002A677E" w:rsidRDefault="009D125A" w:rsidP="008A0FD4">
      <w:pPr>
        <w:autoSpaceDE w:val="0"/>
        <w:autoSpaceDN w:val="0"/>
        <w:adjustRightInd w:val="0"/>
        <w:spacing w:before="0" w:after="0"/>
        <w:ind w:left="708"/>
        <w:rPr>
          <w:rFonts w:ascii="Times New Roman" w:hAnsi="Times New Roman"/>
          <w:sz w:val="24"/>
        </w:rPr>
      </w:pPr>
      <w:r>
        <w:rPr>
          <w:rFonts w:ascii="Times New Roman" w:hAnsi="Times New Roman"/>
          <w:sz w:val="24"/>
        </w:rPr>
        <w:t>B.6.2)</w:t>
      </w:r>
      <w:r>
        <w:tab/>
      </w:r>
      <w:r>
        <w:rPr>
          <w:rFonts w:ascii="Times New Roman" w:hAnsi="Times New Roman"/>
          <w:sz w:val="24"/>
        </w:rPr>
        <w:t>Al dettaglio — Rotative qualificate</w:t>
      </w:r>
    </w:p>
    <w:p w14:paraId="2787B7FB" w14:textId="77777777" w:rsidR="00FB3D09" w:rsidRDefault="00FB3D09" w:rsidP="008A0FD4">
      <w:pPr>
        <w:autoSpaceDE w:val="0"/>
        <w:autoSpaceDN w:val="0"/>
        <w:adjustRightInd w:val="0"/>
        <w:spacing w:before="0" w:after="0"/>
        <w:ind w:left="1428"/>
        <w:rPr>
          <w:rFonts w:ascii="Times New Roman" w:hAnsi="Times New Roman"/>
          <w:sz w:val="24"/>
        </w:rPr>
      </w:pPr>
      <w:r>
        <w:rPr>
          <w:rFonts w:ascii="Times New Roman" w:hAnsi="Times New Roman"/>
          <w:sz w:val="24"/>
        </w:rPr>
        <w:t xml:space="preserve">(Esposizioni al dettaglio di cui all'articolo 147, paragrafo 2, lettera d), punto i), del regolamento (UE) n. 575/2013, in combinato disposto con l'articolo 154, paragrafo 4, di tale regolamento). </w:t>
      </w:r>
    </w:p>
    <w:p w14:paraId="1CA9F240" w14:textId="4E5B99F0" w:rsidR="00FB3D09" w:rsidRPr="002A677E" w:rsidRDefault="00DB50AA" w:rsidP="008A0FD4">
      <w:pPr>
        <w:autoSpaceDE w:val="0"/>
        <w:autoSpaceDN w:val="0"/>
        <w:adjustRightInd w:val="0"/>
        <w:spacing w:before="0" w:after="0"/>
        <w:ind w:left="708"/>
        <w:rPr>
          <w:rFonts w:ascii="Times New Roman" w:hAnsi="Times New Roman"/>
          <w:sz w:val="24"/>
        </w:rPr>
      </w:pPr>
      <w:r>
        <w:rPr>
          <w:rFonts w:ascii="Times New Roman" w:hAnsi="Times New Roman"/>
          <w:sz w:val="24"/>
        </w:rPr>
        <w:t>B6.3)</w:t>
      </w:r>
      <w:r>
        <w:tab/>
      </w:r>
      <w:r>
        <w:rPr>
          <w:rFonts w:ascii="Times New Roman" w:hAnsi="Times New Roman"/>
          <w:sz w:val="24"/>
        </w:rPr>
        <w:t>Al dettaglio - crediti acquistati</w:t>
      </w:r>
    </w:p>
    <w:p w14:paraId="3EBF4177" w14:textId="77777777" w:rsidR="00FB3D09" w:rsidRPr="002A677E" w:rsidRDefault="00FB3D09" w:rsidP="008A0FD4">
      <w:pPr>
        <w:autoSpaceDE w:val="0"/>
        <w:autoSpaceDN w:val="0"/>
        <w:adjustRightInd w:val="0"/>
        <w:spacing w:before="0" w:after="0"/>
        <w:ind w:left="1428"/>
        <w:rPr>
          <w:rFonts w:ascii="Times New Roman" w:hAnsi="Times New Roman"/>
          <w:sz w:val="24"/>
        </w:rPr>
      </w:pPr>
      <w:r>
        <w:rPr>
          <w:rFonts w:ascii="Times New Roman" w:hAnsi="Times New Roman"/>
          <w:sz w:val="24"/>
        </w:rPr>
        <w:t xml:space="preserve">(Tutte le esposizioni al dettaglio di cui all'articolo 147, paragrafo 2, lettera d), punto iii), del regolamento (UE) n. 575/2013) </w:t>
      </w:r>
    </w:p>
    <w:p w14:paraId="776A9653" w14:textId="274FCDDB" w:rsidR="00FB3D09" w:rsidRPr="002A677E" w:rsidRDefault="00DB50AA" w:rsidP="008A0FD4">
      <w:pPr>
        <w:autoSpaceDE w:val="0"/>
        <w:autoSpaceDN w:val="0"/>
        <w:adjustRightInd w:val="0"/>
        <w:spacing w:before="0" w:after="0"/>
        <w:ind w:left="708"/>
        <w:rPr>
          <w:rFonts w:ascii="Times New Roman" w:hAnsi="Times New Roman"/>
          <w:sz w:val="24"/>
        </w:rPr>
      </w:pPr>
      <w:r>
        <w:rPr>
          <w:rFonts w:ascii="Times New Roman" w:hAnsi="Times New Roman"/>
          <w:sz w:val="24"/>
        </w:rPr>
        <w:t>B.6.4)</w:t>
      </w:r>
      <w:r>
        <w:tab/>
      </w:r>
      <w:r>
        <w:rPr>
          <w:rFonts w:ascii="Times New Roman" w:hAnsi="Times New Roman"/>
          <w:sz w:val="24"/>
        </w:rPr>
        <w:t xml:space="preserve">Al dettaglio — altro </w:t>
      </w:r>
    </w:p>
    <w:p w14:paraId="1CBC5EF4" w14:textId="450212A6" w:rsidR="00F61AEB" w:rsidRDefault="00FB3D09" w:rsidP="008A0FD4">
      <w:pPr>
        <w:autoSpaceDE w:val="0"/>
        <w:autoSpaceDN w:val="0"/>
        <w:adjustRightInd w:val="0"/>
        <w:spacing w:before="0" w:after="0"/>
        <w:ind w:left="1428"/>
        <w:rPr>
          <w:rFonts w:ascii="Times New Roman" w:hAnsi="Times New Roman"/>
          <w:sz w:val="24"/>
        </w:rPr>
      </w:pPr>
      <w:r>
        <w:rPr>
          <w:rFonts w:ascii="Times New Roman" w:hAnsi="Times New Roman"/>
          <w:sz w:val="24"/>
        </w:rPr>
        <w:t>(Le esposizioni al dettaglio di cui all'articolo 147, paragrafo 2, lettera d), punto iv), del regolamento (UE) n. 575/2013).</w:t>
      </w:r>
    </w:p>
    <w:p w14:paraId="0C697B9E" w14:textId="412E6F82" w:rsidR="00F61AEB" w:rsidRPr="00CF47EA" w:rsidRDefault="00F61AEB" w:rsidP="008A0FD4">
      <w:pPr>
        <w:autoSpaceDE w:val="0"/>
        <w:autoSpaceDN w:val="0"/>
        <w:adjustRightInd w:val="0"/>
        <w:spacing w:before="0" w:after="0"/>
        <w:ind w:left="708"/>
        <w:rPr>
          <w:rFonts w:ascii="Times New Roman" w:hAnsi="Times New Roman"/>
          <w:sz w:val="24"/>
        </w:rPr>
      </w:pPr>
      <w:r>
        <w:rPr>
          <w:rFonts w:ascii="Times New Roman" w:hAnsi="Times New Roman"/>
          <w:sz w:val="24"/>
        </w:rPr>
        <w:t>B.6.5)</w:t>
      </w:r>
      <w:r w:rsidR="008A0FD4">
        <w:rPr>
          <w:rFonts w:ascii="Times New Roman" w:hAnsi="Times New Roman"/>
          <w:sz w:val="24"/>
        </w:rPr>
        <w:tab/>
      </w:r>
      <w:r>
        <w:rPr>
          <w:rFonts w:ascii="Times New Roman" w:hAnsi="Times New Roman"/>
          <w:sz w:val="24"/>
        </w:rPr>
        <w:t>Voce per memoria: Al dettaglio — garantite da beni immobili, PMI</w:t>
      </w:r>
    </w:p>
    <w:p w14:paraId="45B80CE1" w14:textId="0889A937" w:rsidR="00F61AEB" w:rsidRDefault="00F61AEB" w:rsidP="008A0FD4">
      <w:pPr>
        <w:pStyle w:val="ListParagraph"/>
        <w:autoSpaceDE w:val="0"/>
        <w:autoSpaceDN w:val="0"/>
        <w:adjustRightInd w:val="0"/>
        <w:spacing w:before="0" w:after="0"/>
        <w:ind w:left="1418"/>
        <w:rPr>
          <w:rFonts w:ascii="Times New Roman" w:hAnsi="Times New Roman"/>
          <w:sz w:val="24"/>
        </w:rPr>
      </w:pPr>
      <w:r>
        <w:rPr>
          <w:rFonts w:ascii="Times New Roman" w:hAnsi="Times New Roman"/>
          <w:sz w:val="24"/>
        </w:rPr>
        <w:t>(Esposizioni al dettaglio quali definite all'articolo 147, paragrafo 2, lettera d), del regolamento (UE) n. 575/2013, segnalate alle voci da B.6.1 a B.6.4, garantite da beni immobili ai sensi dell'articolo 4, paragrafo 1, punto 75 septies), lettera</w:t>
      </w:r>
      <w:r w:rsidR="008A0FD4">
        <w:rPr>
          <w:rFonts w:ascii="Times New Roman" w:hAnsi="Times New Roman"/>
          <w:sz w:val="24"/>
        </w:rPr>
        <w:t> </w:t>
      </w:r>
      <w:r>
        <w:rPr>
          <w:rFonts w:ascii="Times New Roman" w:hAnsi="Times New Roman"/>
          <w:sz w:val="24"/>
        </w:rPr>
        <w:t>d), del regolamento (UE) n. 575/2013, in combinato disposto con l'articolo 5, paragrafo 8, del regolamento (UE) n. 575/2013)</w:t>
      </w:r>
    </w:p>
    <w:p w14:paraId="40D2DB38" w14:textId="7918A6A8" w:rsidR="00F61AEB" w:rsidRPr="00CF47EA" w:rsidRDefault="00F61AEB" w:rsidP="008A0FD4">
      <w:pPr>
        <w:autoSpaceDE w:val="0"/>
        <w:autoSpaceDN w:val="0"/>
        <w:adjustRightInd w:val="0"/>
        <w:spacing w:before="0" w:after="0"/>
        <w:ind w:left="708"/>
        <w:rPr>
          <w:rFonts w:ascii="Times New Roman" w:hAnsi="Times New Roman"/>
          <w:sz w:val="24"/>
        </w:rPr>
      </w:pPr>
      <w:r>
        <w:rPr>
          <w:rFonts w:ascii="Times New Roman" w:hAnsi="Times New Roman"/>
          <w:sz w:val="24"/>
        </w:rPr>
        <w:t>B.6.6)</w:t>
      </w:r>
      <w:r w:rsidR="008A0FD4">
        <w:rPr>
          <w:rFonts w:ascii="Times New Roman" w:hAnsi="Times New Roman"/>
          <w:sz w:val="24"/>
        </w:rPr>
        <w:tab/>
      </w:r>
      <w:r>
        <w:rPr>
          <w:rFonts w:ascii="Times New Roman" w:hAnsi="Times New Roman"/>
          <w:sz w:val="24"/>
        </w:rPr>
        <w:t>Voce per memoria: Al dettaglio — garantite da beni immobili, non PMI</w:t>
      </w:r>
    </w:p>
    <w:p w14:paraId="7430D81F" w14:textId="43A73D40" w:rsidR="00F61AEB" w:rsidRDefault="00F61AEB" w:rsidP="008A0FD4">
      <w:pPr>
        <w:pStyle w:val="ListParagraph"/>
        <w:autoSpaceDE w:val="0"/>
        <w:autoSpaceDN w:val="0"/>
        <w:adjustRightInd w:val="0"/>
        <w:spacing w:before="0" w:after="0"/>
        <w:ind w:left="1418"/>
        <w:rPr>
          <w:rFonts w:ascii="Times New Roman" w:hAnsi="Times New Roman"/>
          <w:sz w:val="24"/>
        </w:rPr>
      </w:pPr>
      <w:r>
        <w:rPr>
          <w:rFonts w:ascii="Times New Roman" w:hAnsi="Times New Roman"/>
          <w:sz w:val="24"/>
        </w:rPr>
        <w:t>(Esposizioni al dettaglio quali definite all'articolo 147, paragrafo 2, lettera d), del regolamento (UE) n. 575/2013, segnalate alle voci da B.6.1 a B.6.4, garantite da beni immobili ai sensi dell'articolo 4, paragrafo 1, punto 75 septies), lettera</w:t>
      </w:r>
      <w:r w:rsidR="008A0FD4">
        <w:rPr>
          <w:rFonts w:ascii="Times New Roman" w:hAnsi="Times New Roman"/>
          <w:sz w:val="24"/>
        </w:rPr>
        <w:t> </w:t>
      </w:r>
      <w:r>
        <w:rPr>
          <w:rFonts w:ascii="Times New Roman" w:hAnsi="Times New Roman"/>
          <w:sz w:val="24"/>
        </w:rPr>
        <w:t>d), del regolamento (UE) n. 575/2013, non in combinato disposto con l'articolo 5, paragrafo 8, del regolamento (UE) n. 575/2013)</w:t>
      </w:r>
    </w:p>
    <w:p w14:paraId="0EB53292" w14:textId="60E20FB0" w:rsidR="00F37042" w:rsidRPr="00CF47EA" w:rsidRDefault="00F37042" w:rsidP="008A0FD4">
      <w:pPr>
        <w:autoSpaceDE w:val="0"/>
        <w:autoSpaceDN w:val="0"/>
        <w:adjustRightInd w:val="0"/>
        <w:spacing w:before="0" w:after="0"/>
        <w:ind w:left="708"/>
        <w:rPr>
          <w:rFonts w:ascii="Times New Roman" w:hAnsi="Times New Roman"/>
          <w:sz w:val="24"/>
        </w:rPr>
      </w:pPr>
      <w:r>
        <w:rPr>
          <w:rFonts w:ascii="Times New Roman" w:hAnsi="Times New Roman"/>
          <w:sz w:val="24"/>
        </w:rPr>
        <w:t>B.6.7)</w:t>
      </w:r>
      <w:r w:rsidR="008A0FD4">
        <w:rPr>
          <w:rFonts w:ascii="Times New Roman" w:hAnsi="Times New Roman"/>
          <w:sz w:val="24"/>
        </w:rPr>
        <w:tab/>
      </w:r>
      <w:r>
        <w:rPr>
          <w:rFonts w:ascii="Times New Roman" w:hAnsi="Times New Roman"/>
          <w:sz w:val="24"/>
        </w:rPr>
        <w:t>Voce per memoria: Al dettaglio — Altre PMI</w:t>
      </w:r>
    </w:p>
    <w:p w14:paraId="5861C1A9" w14:textId="50C55B82" w:rsidR="00F37042" w:rsidRDefault="00F37042" w:rsidP="008A0FD4">
      <w:pPr>
        <w:pStyle w:val="ListParagraph"/>
        <w:autoSpaceDE w:val="0"/>
        <w:autoSpaceDN w:val="0"/>
        <w:adjustRightInd w:val="0"/>
        <w:spacing w:before="0" w:after="0"/>
        <w:ind w:left="1418"/>
        <w:rPr>
          <w:rFonts w:ascii="Times New Roman" w:hAnsi="Times New Roman"/>
          <w:sz w:val="24"/>
        </w:rPr>
      </w:pPr>
      <w:r>
        <w:rPr>
          <w:rFonts w:ascii="Times New Roman" w:hAnsi="Times New Roman"/>
          <w:sz w:val="24"/>
        </w:rPr>
        <w:t>(Esposizioni al dettaglio di cui all'articolo 147, paragrafo 2, lettera d), punto iv), del regolamento (UE) n. 575/2013, non segnalate alle voci B.6.5 e B.6.6, in combinato disposto con l'articolo 5, paragrafo 8, di tale regolamento)</w:t>
      </w:r>
    </w:p>
    <w:p w14:paraId="394F5A32" w14:textId="769BA6FC" w:rsidR="00F37042" w:rsidRPr="00CF47EA" w:rsidRDefault="00F37042" w:rsidP="008A0FD4">
      <w:pPr>
        <w:autoSpaceDE w:val="0"/>
        <w:autoSpaceDN w:val="0"/>
        <w:adjustRightInd w:val="0"/>
        <w:spacing w:before="0" w:after="0"/>
        <w:ind w:left="708"/>
        <w:rPr>
          <w:rFonts w:ascii="Times New Roman" w:hAnsi="Times New Roman"/>
          <w:sz w:val="24"/>
        </w:rPr>
      </w:pPr>
      <w:r>
        <w:rPr>
          <w:rFonts w:ascii="Times New Roman" w:hAnsi="Times New Roman"/>
          <w:sz w:val="24"/>
        </w:rPr>
        <w:t>B.6.8)</w:t>
      </w:r>
      <w:r w:rsidR="008A0FD4">
        <w:rPr>
          <w:rFonts w:ascii="Times New Roman" w:hAnsi="Times New Roman"/>
          <w:sz w:val="24"/>
        </w:rPr>
        <w:tab/>
      </w:r>
      <w:r>
        <w:rPr>
          <w:rFonts w:ascii="Times New Roman" w:hAnsi="Times New Roman"/>
          <w:sz w:val="24"/>
        </w:rPr>
        <w:t>Voce per memoria: Al dettaglio — Altre non PMI</w:t>
      </w:r>
    </w:p>
    <w:p w14:paraId="75B56F15" w14:textId="6EAC1815" w:rsidR="00F37042" w:rsidRPr="00126E51" w:rsidRDefault="00F37042" w:rsidP="008A0FD4">
      <w:pPr>
        <w:pStyle w:val="ListParagraph"/>
        <w:autoSpaceDE w:val="0"/>
        <w:autoSpaceDN w:val="0"/>
        <w:adjustRightInd w:val="0"/>
        <w:spacing w:before="0" w:after="0"/>
        <w:ind w:left="1418"/>
        <w:rPr>
          <w:rFonts w:ascii="Times New Roman" w:hAnsi="Times New Roman"/>
          <w:sz w:val="24"/>
        </w:rPr>
      </w:pPr>
      <w:r>
        <w:rPr>
          <w:rFonts w:ascii="Times New Roman" w:hAnsi="Times New Roman"/>
          <w:sz w:val="24"/>
        </w:rPr>
        <w:t>(Esposizioni al dettaglio di cui all'articolo 147, paragrafo 2, lettera d), punto iv), del regolamento (UE) n. 575/2013, non segnalate alle voci B.6.5 e B.6.6, non in combinato disposto con l'articolo 5, paragrafo 8, di tale regolamento)</w:t>
      </w:r>
    </w:p>
    <w:p w14:paraId="31C5A22B" w14:textId="61C91BE4" w:rsidR="00FB3D09" w:rsidRPr="002A677E" w:rsidRDefault="00DB50AA" w:rsidP="008A0FD4">
      <w:pPr>
        <w:pStyle w:val="ListParagraph1"/>
        <w:autoSpaceDE w:val="0"/>
        <w:autoSpaceDN w:val="0"/>
        <w:adjustRightInd w:val="0"/>
        <w:spacing w:before="0" w:after="0"/>
        <w:ind w:left="0" w:firstLine="720"/>
        <w:rPr>
          <w:rFonts w:ascii="Times New Roman" w:hAnsi="Times New Roman"/>
          <w:sz w:val="24"/>
        </w:rPr>
      </w:pPr>
      <w:r>
        <w:rPr>
          <w:rFonts w:ascii="Times New Roman" w:hAnsi="Times New Roman"/>
          <w:sz w:val="24"/>
        </w:rPr>
        <w:t>B.7)</w:t>
      </w:r>
      <w:r>
        <w:tab/>
      </w:r>
      <w:r>
        <w:rPr>
          <w:rFonts w:ascii="Times New Roman" w:hAnsi="Times New Roman"/>
          <w:sz w:val="24"/>
        </w:rPr>
        <w:t>Organismi di investimento collettivo ("OIC")</w:t>
      </w:r>
    </w:p>
    <w:p w14:paraId="46A3FB56" w14:textId="38464F9F" w:rsidR="00FB3D09" w:rsidDel="00C72B5D" w:rsidRDefault="00FB3D09" w:rsidP="008A0FD4">
      <w:pPr>
        <w:autoSpaceDE w:val="0"/>
        <w:autoSpaceDN w:val="0"/>
        <w:adjustRightInd w:val="0"/>
        <w:spacing w:before="0" w:after="0"/>
        <w:ind w:left="1416"/>
        <w:rPr>
          <w:rFonts w:ascii="Times New Roman" w:hAnsi="Times New Roman"/>
          <w:sz w:val="24"/>
        </w:rPr>
      </w:pPr>
      <w:r>
        <w:rPr>
          <w:rFonts w:ascii="Times New Roman" w:hAnsi="Times New Roman"/>
          <w:sz w:val="24"/>
        </w:rPr>
        <w:t>Esposizioni sotto forma di quote o azioni in organismi di investimento collettivo ("OIC") di cui all'articolo 147, paragrafo 2, lettera e bis), del regolamento (UE) n. 575/2013</w:t>
      </w:r>
    </w:p>
    <w:p w14:paraId="1BEDE351" w14:textId="77777777" w:rsidR="00FB3D09" w:rsidRDefault="00FB3D09" w:rsidP="00FB3D09">
      <w:pPr>
        <w:spacing w:before="0" w:after="0"/>
        <w:ind w:left="709"/>
        <w:jc w:val="left"/>
        <w:rPr>
          <w:rFonts w:ascii="Times New Roman" w:hAnsi="Times New Roman"/>
          <w:sz w:val="24"/>
          <w:lang w:eastAsia="de-DE"/>
        </w:rPr>
      </w:pPr>
    </w:p>
    <w:p w14:paraId="677C9432" w14:textId="4DE49A2E" w:rsidR="00FB3D09" w:rsidRDefault="00FB3D09" w:rsidP="00FB3D09">
      <w:pPr>
        <w:spacing w:before="0" w:after="240"/>
        <w:jc w:val="left"/>
        <w:rPr>
          <w:rFonts w:ascii="Times New Roman" w:hAnsi="Times New Roman"/>
          <w:sz w:val="24"/>
        </w:rPr>
      </w:pPr>
      <w:r>
        <w:rPr>
          <w:rFonts w:ascii="Times New Roman" w:hAnsi="Times New Roman"/>
          <w:sz w:val="24"/>
        </w:rPr>
        <w:t xml:space="preserve">3.3.2a. </w:t>
      </w:r>
      <w:r w:rsidR="008A0FD4">
        <w:rPr>
          <w:rFonts w:ascii="Times New Roman" w:hAnsi="Times New Roman"/>
          <w:sz w:val="24"/>
        </w:rPr>
        <w:tab/>
      </w:r>
      <w:r>
        <w:rPr>
          <w:rFonts w:ascii="Times New Roman" w:hAnsi="Times New Roman"/>
          <w:sz w:val="24"/>
        </w:rPr>
        <w:t xml:space="preserve">Chiarimenti sul perimetro di alcune classi di esposizioni specifiche di cui all'articolo 147 del regolamento (UE) n. 575/2013 </w:t>
      </w:r>
    </w:p>
    <w:p w14:paraId="314E3D92" w14:textId="4C97F668" w:rsidR="00FB3D09" w:rsidRDefault="00FB3D09" w:rsidP="00FB3D09">
      <w:pPr>
        <w:spacing w:before="0" w:after="240"/>
        <w:jc w:val="left"/>
        <w:rPr>
          <w:rFonts w:ascii="Times New Roman" w:hAnsi="Times New Roman"/>
          <w:sz w:val="24"/>
        </w:rPr>
      </w:pPr>
      <w:r>
        <w:rPr>
          <w:rFonts w:ascii="Times New Roman" w:hAnsi="Times New Roman"/>
          <w:sz w:val="24"/>
        </w:rPr>
        <w:lastRenderedPageBreak/>
        <w:t>3.3.2a.1 Classe di esposizioni «Organismi di investimento collettivo»</w:t>
      </w:r>
    </w:p>
    <w:p w14:paraId="219CEA19" w14:textId="7C695821" w:rsidR="00FB3D09" w:rsidRDefault="00FB3D09" w:rsidP="00126E51">
      <w:pPr>
        <w:spacing w:before="0" w:after="240"/>
        <w:rPr>
          <w:rFonts w:ascii="Times New Roman" w:hAnsi="Times New Roman"/>
          <w:sz w:val="24"/>
        </w:rPr>
      </w:pPr>
      <w:r>
        <w:rPr>
          <w:rFonts w:ascii="Times New Roman" w:hAnsi="Times New Roman"/>
          <w:sz w:val="24"/>
        </w:rPr>
        <w:t>76a. Tutte le singole esposizioni sotto forma di quote o azioni di organismi di investimento collettivo a cui si applica il metodo look-through o il metodo basato sul mandato (articolo 152, punti 1) e 5), del regolamento (UE) n. 575/2013), nonché le esposizioni soggette al metodo alternativo sono classificate nella classe delle esposizioni sotto forma di quote o azioni di organismi di investimento collettivo ("OIC") e segnalate nella sezione RIPARTIZIONE DELLE ESPOSIZIONI TOTALI IN BASE AL METODO (OIC).</w:t>
      </w:r>
    </w:p>
    <w:p w14:paraId="1BCD95AE" w14:textId="34299D77" w:rsidR="00FB3D09" w:rsidRDefault="00FC2C95" w:rsidP="00126E51">
      <w:pPr>
        <w:spacing w:before="0" w:after="240"/>
        <w:rPr>
          <w:rFonts w:ascii="Times New Roman" w:hAnsi="Times New Roman"/>
          <w:sz w:val="24"/>
        </w:rPr>
      </w:pPr>
      <w:r>
        <w:rPr>
          <w:rFonts w:ascii="Times New Roman" w:hAnsi="Times New Roman"/>
          <w:sz w:val="24"/>
        </w:rPr>
        <w:t>76b. Nel caso in cui sia utilizzato il metodo look-through (articolo 152, punto 1), del regolamento (UE) n. 575/2013), le singole esposizioni sottostanti (in aggiunta alla suddetta classificazione come "OIC") sono classificate nella classe di esposizioni corrispondente e segnalate come voce per memoria nella riga 0190 del modello C 08.01, con riferimento al metodo look-through (per tale classe di esposizioni). Pertanto, nel caso del metodo look</w:t>
      </w:r>
      <w:r w:rsidR="008A0FD4">
        <w:rPr>
          <w:rFonts w:ascii="Times New Roman" w:hAnsi="Times New Roman"/>
          <w:sz w:val="24"/>
        </w:rPr>
        <w:noBreakHyphen/>
      </w:r>
      <w:r>
        <w:rPr>
          <w:rFonts w:ascii="Times New Roman" w:hAnsi="Times New Roman"/>
          <w:sz w:val="24"/>
        </w:rPr>
        <w:t>through, l'esposizione individuale sottostante non fa parte delle esposizioni totali della classe di esposizioni corrispondente, ma è presa in considerazione nelle esposizioni totali della classe di esposizioni verso OIC Se, in ultima analisi, ad alcune delle esposizioni sottostanti si applica il metodo standardizzato (SA), tali esposizioni dovrebbero essere segnalate nel modello CR SA (C 07.00) nella classe di esposizioni "Organismi di investimento collettivo". In questo modello sono segnalate solo le esposizioni sottostanti per le quali è stato utilizzato un metodo basato sui rating interni (IRB) per calcolare i requisiti di fondi propri. Le seguenti esposizioni sottostanti non sono tuttavia segnalate nei modelli CR IRB:</w:t>
      </w:r>
    </w:p>
    <w:p w14:paraId="38F3EA76" w14:textId="7AA2ED9B" w:rsidR="00FB3D09" w:rsidRDefault="00FB3D09" w:rsidP="008A0FD4">
      <w:pPr>
        <w:pStyle w:val="InstructionsText2"/>
        <w:numPr>
          <w:ilvl w:val="0"/>
          <w:numId w:val="0"/>
        </w:numPr>
        <w:ind w:left="720"/>
      </w:pPr>
      <w:r>
        <w:t>i.</w:t>
      </w:r>
      <w:r>
        <w:tab/>
        <w:t>le esposizioni in strumenti di capitale, che sono segnalate nel modello CR</w:t>
      </w:r>
      <w:r w:rsidR="008A0FD4">
        <w:t> </w:t>
      </w:r>
      <w:r>
        <w:t>EQU</w:t>
      </w:r>
      <w:r w:rsidR="008A0FD4">
        <w:t> </w:t>
      </w:r>
      <w:r>
        <w:t xml:space="preserve">IRB; </w:t>
      </w:r>
    </w:p>
    <w:p w14:paraId="007677D4" w14:textId="3F238AD1" w:rsidR="00FB3D09" w:rsidRDefault="00FB3D09" w:rsidP="00FB3D09">
      <w:pPr>
        <w:pStyle w:val="InstructionsText2"/>
        <w:numPr>
          <w:ilvl w:val="0"/>
          <w:numId w:val="0"/>
        </w:numPr>
        <w:ind w:left="993"/>
      </w:pPr>
      <w:r>
        <w:t>ii.</w:t>
      </w:r>
      <w:r>
        <w:tab/>
        <w:t>le posizioni verso la cartolarizzazione, che sono segnalate nei modelli CR</w:t>
      </w:r>
      <w:r w:rsidR="008A0FD4">
        <w:t> </w:t>
      </w:r>
      <w:r>
        <w:t>SEC e/o CR SEC Details;</w:t>
      </w:r>
    </w:p>
    <w:p w14:paraId="3868B76C" w14:textId="77777777" w:rsidR="00FB3D09" w:rsidRPr="002A677E" w:rsidRDefault="00FB3D09" w:rsidP="00FB3D09">
      <w:pPr>
        <w:spacing w:before="0" w:after="240"/>
        <w:jc w:val="left"/>
        <w:rPr>
          <w:rFonts w:ascii="Times New Roman" w:hAnsi="Times New Roman"/>
          <w:sz w:val="24"/>
        </w:rPr>
      </w:pPr>
      <w:bookmarkStart w:id="11" w:name="_Toc473560909"/>
      <w:bookmarkStart w:id="12" w:name="_Toc239157380"/>
      <w:bookmarkStart w:id="13" w:name="_Toc262568038"/>
      <w:bookmarkStart w:id="14" w:name="_Toc264038436"/>
      <w:bookmarkStart w:id="15" w:name="_Toc295829866"/>
      <w:bookmarkStart w:id="16" w:name="_Toc308155143"/>
      <w:bookmarkStart w:id="17" w:name="_Toc310415030"/>
      <w:bookmarkStart w:id="18" w:name="_Toc360188360"/>
      <w:r>
        <w:rPr>
          <w:rFonts w:ascii="Times New Roman" w:hAnsi="Times New Roman"/>
          <w:sz w:val="24"/>
        </w:rPr>
        <w:t>3.3.3.</w:t>
      </w:r>
      <w:r>
        <w:tab/>
      </w:r>
      <w:r>
        <w:rPr>
          <w:rFonts w:ascii="Times New Roman" w:hAnsi="Times New Roman"/>
          <w:sz w:val="24"/>
        </w:rPr>
        <w:t>C 08.01 — Rischio di credito e rischio di controparte e operazioni con regolamento non contestuale: metodo IRB applicato ai requisiti patrimoniali (CR IRB 1)</w:t>
      </w:r>
      <w:bookmarkEnd w:id="11"/>
    </w:p>
    <w:p w14:paraId="24516C06" w14:textId="77777777" w:rsidR="00FB3D09" w:rsidRPr="002A677E" w:rsidRDefault="00FB3D09" w:rsidP="00FB3D09">
      <w:pPr>
        <w:pStyle w:val="Instructionsberschrift2"/>
        <w:numPr>
          <w:ilvl w:val="0"/>
          <w:numId w:val="0"/>
        </w:numPr>
        <w:ind w:left="709" w:hanging="720"/>
        <w:rPr>
          <w:rFonts w:ascii="Times New Roman" w:hAnsi="Times New Roman" w:cs="Times New Roman"/>
          <w:sz w:val="24"/>
        </w:rPr>
      </w:pPr>
      <w:bookmarkStart w:id="19" w:name="_Toc473560910"/>
      <w:bookmarkStart w:id="20" w:name="_Toc151714397"/>
      <w:r>
        <w:rPr>
          <w:rFonts w:ascii="Times New Roman" w:hAnsi="Times New Roman"/>
          <w:sz w:val="24"/>
          <w:u w:val="none"/>
        </w:rPr>
        <w:t>3.3.3.1</w:t>
      </w:r>
      <w:r>
        <w:tab/>
      </w:r>
      <w:r>
        <w:rPr>
          <w:rFonts w:ascii="Times New Roman" w:hAnsi="Times New Roman"/>
          <w:sz w:val="24"/>
        </w:rPr>
        <w:t>Istruzioni relative a posizioni specifiche</w:t>
      </w:r>
      <w:bookmarkEnd w:id="12"/>
      <w:bookmarkEnd w:id="13"/>
      <w:bookmarkEnd w:id="14"/>
      <w:bookmarkEnd w:id="15"/>
      <w:bookmarkEnd w:id="16"/>
      <w:bookmarkEnd w:id="17"/>
      <w:bookmarkEnd w:id="18"/>
      <w:bookmarkEnd w:id="19"/>
      <w:bookmarkEnd w:id="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57EC16E2" w14:textId="77777777" w:rsidTr="00822842">
        <w:tc>
          <w:tcPr>
            <w:tcW w:w="1188" w:type="dxa"/>
            <w:shd w:val="clear" w:color="auto" w:fill="CCCCCC"/>
          </w:tcPr>
          <w:p w14:paraId="62A9E816" w14:textId="77777777" w:rsidR="00FB3D09" w:rsidRPr="002A677E" w:rsidRDefault="00FB3D09" w:rsidP="00822842">
            <w:pPr>
              <w:rPr>
                <w:rFonts w:ascii="Times New Roman" w:hAnsi="Times New Roman"/>
                <w:sz w:val="24"/>
              </w:rPr>
            </w:pPr>
            <w:r>
              <w:rPr>
                <w:rFonts w:ascii="Times New Roman" w:hAnsi="Times New Roman"/>
                <w:sz w:val="24"/>
              </w:rPr>
              <w:t>Colonne</w:t>
            </w:r>
          </w:p>
        </w:tc>
        <w:tc>
          <w:tcPr>
            <w:tcW w:w="8843" w:type="dxa"/>
            <w:shd w:val="clear" w:color="auto" w:fill="CCCCCC"/>
          </w:tcPr>
          <w:p w14:paraId="2B397FE4" w14:textId="77777777" w:rsidR="00FB3D09" w:rsidRPr="002A677E" w:rsidRDefault="00FB3D09" w:rsidP="00822842">
            <w:pPr>
              <w:rPr>
                <w:rFonts w:ascii="Times New Roman" w:hAnsi="Times New Roman"/>
                <w:sz w:val="24"/>
              </w:rPr>
            </w:pPr>
            <w:r>
              <w:rPr>
                <w:rFonts w:ascii="Times New Roman" w:hAnsi="Times New Roman"/>
                <w:sz w:val="24"/>
              </w:rPr>
              <w:t>Istruzioni</w:t>
            </w:r>
          </w:p>
        </w:tc>
      </w:tr>
      <w:tr w:rsidR="00FB3D09" w:rsidRPr="002A677E" w14:paraId="6D2D58B3" w14:textId="77777777" w:rsidTr="00822842">
        <w:tc>
          <w:tcPr>
            <w:tcW w:w="1188" w:type="dxa"/>
          </w:tcPr>
          <w:p w14:paraId="1736B9C4" w14:textId="77777777" w:rsidR="00FB3D09" w:rsidRPr="002A677E" w:rsidRDefault="00FB3D09" w:rsidP="00822842">
            <w:pPr>
              <w:rPr>
                <w:rFonts w:ascii="Times New Roman" w:hAnsi="Times New Roman"/>
                <w:sz w:val="24"/>
              </w:rPr>
            </w:pPr>
            <w:r>
              <w:rPr>
                <w:rFonts w:ascii="Times New Roman" w:hAnsi="Times New Roman"/>
                <w:sz w:val="24"/>
              </w:rPr>
              <w:t>0010</w:t>
            </w:r>
          </w:p>
        </w:tc>
        <w:tc>
          <w:tcPr>
            <w:tcW w:w="8843" w:type="dxa"/>
          </w:tcPr>
          <w:p w14:paraId="298149A1"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SCALA DI RATING INTERNI/PROBABILITÀ DI DEFAULT ASSEGNATA ALLA CLASSE O AL POOL DI DEBITORI (%)</w:t>
            </w:r>
          </w:p>
          <w:p w14:paraId="5FF26C85" w14:textId="77777777" w:rsidR="00FB3D09" w:rsidRPr="002A677E" w:rsidRDefault="00FB3D09" w:rsidP="00822842">
            <w:pPr>
              <w:rPr>
                <w:rFonts w:ascii="Times New Roman" w:hAnsi="Times New Roman"/>
                <w:sz w:val="24"/>
              </w:rPr>
            </w:pPr>
            <w:r>
              <w:rPr>
                <w:rFonts w:ascii="Times New Roman" w:hAnsi="Times New Roman"/>
                <w:sz w:val="24"/>
              </w:rPr>
              <w:t>La PD assegnata alla classe o al pool di debitori da comunicare si basa sulle disposizioni di cui all'articolo 180 del regolamento (UE) n. 575/2013.</w:t>
            </w:r>
            <w:r>
              <w:rPr>
                <w:rStyle w:val="InstructionsTabelleText"/>
                <w:rFonts w:ascii="Times New Roman" w:hAnsi="Times New Roman"/>
                <w:sz w:val="24"/>
              </w:rPr>
              <w:t xml:space="preserve"> Per ogni singola classe o singolo pool di debitori è indicata la PD ad essa o ad esso attribuita. Per gli importi relativi a un'aggregazione di classi o pool di debitori (ad esempio le esposizioni totali), si riporta la media ponderata per l'esposizione delle PD attribuite alle classi o ai pool di debitori compresi nell'aggregazione considerata. Il valore dell'esposizione (colonna 0110) è utilizzato per il calcolo della media ponderata per l'esposizione della PD</w:t>
            </w:r>
            <w:r>
              <w:rPr>
                <w:rFonts w:ascii="Times New Roman" w:hAnsi="Times New Roman"/>
                <w:sz w:val="24"/>
              </w:rPr>
              <w:t>.</w:t>
            </w:r>
          </w:p>
          <w:p w14:paraId="723A0BA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Per ogni singola classe o singolo pool di debitori è indicata la PD ad essa o ad esso attribuita. Tutti i parametri di rischio segnalati sono ricavati dai parametri di rischio utilizzati nella scala di rating interni approvata dall'autorità competente.</w:t>
            </w:r>
          </w:p>
          <w:p w14:paraId="37DDB74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lastRenderedPageBreak/>
              <w:t xml:space="preserve">Non è richiesto né auspicabile disporre di una scala tipo di vigilanza. Se l'ente segnalante applica una scala di rating unica o è in grado di effettuare le segnalazioni in conformità di una scala tipo interna, si utilizza tale scala. </w:t>
            </w:r>
          </w:p>
          <w:p w14:paraId="4FCCB57F"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Negli altri casi, le differenti scale di rating sono unificate e classificate secondo i seguenti criteri: le classi di debitori delle differenti scale di rating sono accorpate e ordinate a partire dalla PD più bassa assegnata a ciascuna classe a quella più alta. Se utilizza molte classi o molti pool, l'ente può concordare con le autorità competenti di ridurre il numero delle classi o dei pool da segnalare. Lo stesso vale per le scale di rating continue: un numero ridotto di classi da segnalare è concordato con le autorità competenti.</w:t>
            </w:r>
          </w:p>
          <w:p w14:paraId="7B5BA46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Gli enti contattano preventivamente la rispettiva autorità competente se vogliono segnalare un numero di classi diverso da quello utilizzato al proprio interno.</w:t>
            </w:r>
          </w:p>
          <w:p w14:paraId="05BEC00A"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L'ultima o le ultime classi di rating sono dedicate alle esposizioni in stato di default con una PD del 100 %</w:t>
            </w:r>
            <w:r>
              <w:t>.</w:t>
            </w:r>
          </w:p>
          <w:p w14:paraId="21058E35" w14:textId="53D6092E" w:rsidR="00FB3D09" w:rsidRPr="002A677E" w:rsidRDefault="00FB3D09" w:rsidP="00822842">
            <w:pPr>
              <w:rPr>
                <w:rFonts w:ascii="Times New Roman" w:hAnsi="Times New Roman"/>
                <w:sz w:val="24"/>
              </w:rPr>
            </w:pPr>
            <w:r>
              <w:rPr>
                <w:rStyle w:val="InstructionsTabelleText"/>
                <w:rFonts w:ascii="Times New Roman" w:hAnsi="Times New Roman"/>
                <w:sz w:val="24"/>
              </w:rPr>
              <w:t>Per la ponderazione della PD media si utilizza il valore dell'esposizione indicato nella colonna 110. La PD media ponderata per l'esposizione è calcolata tenendo conto di tutte le esposizioni segnalate in una data riga. Nella riga in cui sono segnalate solo le esposizioni in stato di default, la PD media è pari al 100 %.</w:t>
            </w:r>
          </w:p>
        </w:tc>
      </w:tr>
      <w:tr w:rsidR="00FB3D09" w:rsidRPr="002A677E" w14:paraId="45B04E8D" w14:textId="77777777" w:rsidTr="00822842">
        <w:tc>
          <w:tcPr>
            <w:tcW w:w="1188" w:type="dxa"/>
          </w:tcPr>
          <w:p w14:paraId="7FB0CCE0" w14:textId="77777777" w:rsidR="00FB3D09" w:rsidRPr="002A677E" w:rsidRDefault="00FB3D09" w:rsidP="00822842">
            <w:pPr>
              <w:rPr>
                <w:rFonts w:ascii="Times New Roman" w:hAnsi="Times New Roman"/>
                <w:sz w:val="24"/>
              </w:rPr>
            </w:pPr>
            <w:r>
              <w:rPr>
                <w:rFonts w:ascii="Times New Roman" w:hAnsi="Times New Roman"/>
                <w:sz w:val="24"/>
              </w:rPr>
              <w:lastRenderedPageBreak/>
              <w:t>0020</w:t>
            </w:r>
          </w:p>
        </w:tc>
        <w:tc>
          <w:tcPr>
            <w:tcW w:w="8843" w:type="dxa"/>
          </w:tcPr>
          <w:p w14:paraId="3CB0A55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ESPOSIZIONE ORIGINARIA PRIMA DELL'APPLICAZIONE DEI FATTORI DI CONVERSIONE</w:t>
            </w:r>
          </w:p>
          <w:p w14:paraId="5FC3A6BD" w14:textId="77777777" w:rsidR="00FB3D09" w:rsidRPr="002A677E" w:rsidRDefault="00FB3D09" w:rsidP="00822842">
            <w:pPr>
              <w:rPr>
                <w:rFonts w:ascii="Times New Roman" w:hAnsi="Times New Roman"/>
                <w:sz w:val="24"/>
              </w:rPr>
            </w:pPr>
            <w:r>
              <w:rPr>
                <w:rFonts w:ascii="Times New Roman" w:hAnsi="Times New Roman"/>
                <w:sz w:val="24"/>
              </w:rPr>
              <w:t xml:space="preserve">L'ente segnala il valore dell'esposizione prima di tener conto di qualsiasi rettifica di valore, di accantonamenti, di effetti dovuti a tecniche di attenuazione del rischio di credito o dei fattori di conversione del credito. </w:t>
            </w:r>
          </w:p>
          <w:p w14:paraId="6FE079F9" w14:textId="4FFC3761" w:rsidR="00FB3D09" w:rsidRPr="002A677E" w:rsidRDefault="00FB3D09" w:rsidP="00822842">
            <w:pPr>
              <w:rPr>
                <w:rFonts w:ascii="Times New Roman" w:hAnsi="Times New Roman"/>
                <w:sz w:val="24"/>
              </w:rPr>
            </w:pPr>
            <w:r>
              <w:rPr>
                <w:rFonts w:ascii="Times New Roman" w:hAnsi="Times New Roman"/>
                <w:sz w:val="24"/>
              </w:rPr>
              <w:t>Il valore dell'esposizione originaria è segnalato conformemente all'articolo 24 e all'articolo</w:t>
            </w:r>
            <w:r w:rsidR="008A0FD4">
              <w:rPr>
                <w:rFonts w:ascii="Times New Roman" w:hAnsi="Times New Roman"/>
                <w:sz w:val="24"/>
              </w:rPr>
              <w:t> </w:t>
            </w:r>
            <w:r>
              <w:rPr>
                <w:rFonts w:ascii="Times New Roman" w:hAnsi="Times New Roman"/>
                <w:sz w:val="24"/>
              </w:rPr>
              <w:t>166, paragrafi 1, 2, 4, 5, 6 e 7, del regolamento (UE) n. 575/2013.</w:t>
            </w:r>
          </w:p>
          <w:p w14:paraId="11B43315" w14:textId="77777777" w:rsidR="00FB3D09" w:rsidRPr="002A677E" w:rsidRDefault="00FB3D09" w:rsidP="00822842">
            <w:pPr>
              <w:rPr>
                <w:rFonts w:ascii="Times New Roman" w:hAnsi="Times New Roman"/>
                <w:sz w:val="24"/>
              </w:rPr>
            </w:pPr>
            <w:r>
              <w:rPr>
                <w:rFonts w:ascii="Times New Roman" w:hAnsi="Times New Roman"/>
                <w:sz w:val="24"/>
              </w:rPr>
              <w:t xml:space="preserve">L'effetto derivante dall'articolo 166, paragrafo 3, del regolamento (UE) n. 575/2013 (effetto della compensazione in bilancio dei crediti e dei depositi) è segnalato separatamente come protezione del credito di tipo reale e pertanto non riduce l'esposizione originaria. </w:t>
            </w:r>
          </w:p>
          <w:p w14:paraId="49185637" w14:textId="77777777" w:rsidR="00FB3D09" w:rsidRPr="002A677E" w:rsidRDefault="00FB3D09" w:rsidP="00822842">
            <w:pPr>
              <w:rPr>
                <w:rFonts w:ascii="Times New Roman" w:hAnsi="Times New Roman"/>
                <w:sz w:val="24"/>
              </w:rPr>
            </w:pPr>
            <w:r>
              <w:rPr>
                <w:rFonts w:ascii="Times New Roman" w:hAnsi="Times New Roman"/>
                <w:sz w:val="24"/>
              </w:rPr>
              <w:t>Per gli strumenti derivati, le operazioni di vendita con patto di riacquisto, le operazioni di concessione e assunzione di titoli o merci in prestito, le operazioni con regolamento a lungo termine e i finanziamenti con margini soggetti al rischio di controparte (parte tre, titolo II, capo 4 o capo 6, del regolamento (UE) n. 575/2013), l'esposizione originaria corrisponde al valore dell'esposizione derivante dal rischio di controparte (cfr. istruzioni relative alla colonna 0130).</w:t>
            </w:r>
          </w:p>
        </w:tc>
      </w:tr>
      <w:tr w:rsidR="00FB3D09" w:rsidRPr="002A677E" w14:paraId="4820425A" w14:textId="77777777" w:rsidTr="00822842">
        <w:tc>
          <w:tcPr>
            <w:tcW w:w="1188" w:type="dxa"/>
          </w:tcPr>
          <w:p w14:paraId="17C25782"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Pr>
          <w:p w14:paraId="15A3D95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DI CUI: SOGGETTI DI GRANDI DIMENSIONI DEL SETTORE FINANZIARIO E SOGGETTI FINANZIARI NON REGOLAMENTATI</w:t>
            </w:r>
          </w:p>
          <w:p w14:paraId="49D69508" w14:textId="77777777" w:rsidR="00FB3D09" w:rsidRPr="002A677E" w:rsidRDefault="00FB3D09" w:rsidP="00822842">
            <w:pPr>
              <w:rPr>
                <w:rFonts w:ascii="Times New Roman" w:hAnsi="Times New Roman"/>
                <w:b/>
                <w:sz w:val="24"/>
                <w:u w:val="single"/>
              </w:rPr>
            </w:pPr>
            <w:r>
              <w:rPr>
                <w:rFonts w:ascii="Times New Roman" w:hAnsi="Times New Roman"/>
                <w:sz w:val="24"/>
              </w:rPr>
              <w:t>Ripartizione dell'esposizione originaria prima dell'applicazione del fattore di conversione per tutte le esposizioni dei soggetti di cui all'articolo 142, paragrafo 1, punti 4 e 5, del regolamento (UE) n. 575/2013, cui si applica il coefficiente di correlazione più elevato determinato conformemente all'articolo 153, paragrafo 2, di tale regolamento.</w:t>
            </w:r>
          </w:p>
        </w:tc>
      </w:tr>
      <w:tr w:rsidR="00FB3D09" w:rsidRPr="002A677E" w14:paraId="216A721A" w14:textId="77777777" w:rsidTr="00822842">
        <w:tc>
          <w:tcPr>
            <w:tcW w:w="1188" w:type="dxa"/>
          </w:tcPr>
          <w:p w14:paraId="189E467F" w14:textId="77777777" w:rsidR="00FB3D09" w:rsidRPr="002A677E" w:rsidRDefault="00FB3D09" w:rsidP="00822842">
            <w:pPr>
              <w:rPr>
                <w:rFonts w:ascii="Times New Roman" w:hAnsi="Times New Roman"/>
                <w:sz w:val="24"/>
              </w:rPr>
            </w:pPr>
            <w:r>
              <w:rPr>
                <w:rFonts w:ascii="Times New Roman" w:hAnsi="Times New Roman"/>
                <w:sz w:val="24"/>
              </w:rPr>
              <w:t>0040-0080</w:t>
            </w:r>
          </w:p>
        </w:tc>
        <w:tc>
          <w:tcPr>
            <w:tcW w:w="8843" w:type="dxa"/>
          </w:tcPr>
          <w:p w14:paraId="0B033AC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TECNICHE DI ATTENUAZIONE DEL RISCHIO DI CREDITO (CRM) CON EFFETTI DI SOSTITUZIONE SULL'ESPOSIZIONE</w:t>
            </w:r>
          </w:p>
          <w:p w14:paraId="15F28018" w14:textId="12F1AD6D" w:rsidR="00FB3D09" w:rsidRPr="002A677E" w:rsidRDefault="00FB3D09" w:rsidP="00822842">
            <w:pPr>
              <w:rPr>
                <w:rFonts w:ascii="Times New Roman" w:hAnsi="Times New Roman"/>
                <w:sz w:val="24"/>
              </w:rPr>
            </w:pPr>
            <w:r>
              <w:rPr>
                <w:rFonts w:ascii="Times New Roman" w:hAnsi="Times New Roman"/>
                <w:sz w:val="24"/>
              </w:rPr>
              <w:t>Attenuazione del rischio di credito così come definita nell'articolo 4, paragrafo 1, punto</w:t>
            </w:r>
            <w:r w:rsidR="008A0FD4">
              <w:rPr>
                <w:rFonts w:ascii="Times New Roman" w:hAnsi="Times New Roman"/>
                <w:sz w:val="24"/>
              </w:rPr>
              <w:t> </w:t>
            </w:r>
            <w:r>
              <w:rPr>
                <w:rFonts w:ascii="Times New Roman" w:hAnsi="Times New Roman"/>
                <w:sz w:val="24"/>
              </w:rPr>
              <w:t xml:space="preserve">57, del regolamento (UE) n. 575/2013 che riduce il rischio di credito di un'esposizione o </w:t>
            </w:r>
            <w:r>
              <w:rPr>
                <w:rFonts w:ascii="Times New Roman" w:hAnsi="Times New Roman"/>
                <w:sz w:val="24"/>
              </w:rPr>
              <w:lastRenderedPageBreak/>
              <w:t>di esposizioni mediante la sostituzione delle esposizioni descritta infra alla voce "SOSTITUZIONE DELL'ESPOSIZIONE DOVUTA ALL'ATTENUAZIONE DEL RISCHIO DI CREDITO".</w:t>
            </w:r>
          </w:p>
          <w:p w14:paraId="1328DB1C" w14:textId="77777777" w:rsidR="00FB3D09" w:rsidRPr="002A677E" w:rsidRDefault="00FB3D09" w:rsidP="00822842">
            <w:pPr>
              <w:autoSpaceDE w:val="0"/>
              <w:autoSpaceDN w:val="0"/>
              <w:adjustRightInd w:val="0"/>
              <w:spacing w:before="0" w:after="0"/>
              <w:jc w:val="left"/>
              <w:rPr>
                <w:rFonts w:ascii="Times New Roman" w:hAnsi="Times New Roman"/>
                <w:sz w:val="24"/>
              </w:rPr>
            </w:pPr>
          </w:p>
        </w:tc>
      </w:tr>
      <w:tr w:rsidR="00FB3D09" w:rsidRPr="002A677E" w14:paraId="4BD2F7DD" w14:textId="77777777" w:rsidTr="00822842">
        <w:tc>
          <w:tcPr>
            <w:tcW w:w="1188" w:type="dxa"/>
          </w:tcPr>
          <w:p w14:paraId="0BA81A61" w14:textId="77777777" w:rsidR="00FB3D09" w:rsidRPr="002A677E" w:rsidRDefault="00FB3D09" w:rsidP="00822842">
            <w:pPr>
              <w:rPr>
                <w:rFonts w:ascii="Times New Roman" w:hAnsi="Times New Roman"/>
                <w:sz w:val="24"/>
              </w:rPr>
            </w:pPr>
            <w:r>
              <w:rPr>
                <w:rFonts w:ascii="Times New Roman" w:hAnsi="Times New Roman"/>
                <w:sz w:val="24"/>
              </w:rPr>
              <w:lastRenderedPageBreak/>
              <w:t>0040-0050</w:t>
            </w:r>
          </w:p>
        </w:tc>
        <w:tc>
          <w:tcPr>
            <w:tcW w:w="8843" w:type="dxa"/>
          </w:tcPr>
          <w:p w14:paraId="4B08A0E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PROTEZIONE DEL CREDITO DI TIPO PERSONALE</w:t>
            </w:r>
          </w:p>
          <w:p w14:paraId="25128BF3" w14:textId="77777777" w:rsidR="00FB3D09" w:rsidRPr="002A677E" w:rsidRDefault="00FB3D09" w:rsidP="00822842">
            <w:pPr>
              <w:rPr>
                <w:rStyle w:val="InstructionsTabelleText"/>
                <w:rFonts w:ascii="Times New Roman" w:hAnsi="Times New Roman"/>
                <w:sz w:val="24"/>
              </w:rPr>
            </w:pPr>
            <w:r>
              <w:rPr>
                <w:rFonts w:ascii="Times New Roman" w:hAnsi="Times New Roman"/>
                <w:sz w:val="24"/>
              </w:rPr>
              <w:t>Protezione del credito di tipo personale ai sensi dell'articolo 4, paragrafo 1, punto 59, del regolamento (UE) 575/2013.</w:t>
            </w:r>
          </w:p>
          <w:p w14:paraId="538FB9AD" w14:textId="77777777" w:rsidR="00FB3D09" w:rsidRPr="002A677E" w:rsidRDefault="00FB3D09" w:rsidP="00822842">
            <w:pPr>
              <w:rPr>
                <w:rFonts w:ascii="Times New Roman" w:hAnsi="Times New Roman"/>
                <w:sz w:val="24"/>
              </w:rPr>
            </w:pPr>
            <w:r>
              <w:rPr>
                <w:rFonts w:ascii="Times New Roman" w:hAnsi="Times New Roman"/>
                <w:sz w:val="24"/>
              </w:rPr>
              <w:t>Se la protezione del credito di tipo personale influisce sull'esposizione (ad esempio quando è utilizzata per le tecniche di attenuazione del rischio di credito con effetti di sostituzione sull'esposizione), essa è limitata al valore dell'esposizione.</w:t>
            </w:r>
          </w:p>
        </w:tc>
      </w:tr>
      <w:tr w:rsidR="00FB3D09" w:rsidRPr="002A677E" w14:paraId="4279348F" w14:textId="77777777" w:rsidTr="00822842">
        <w:tc>
          <w:tcPr>
            <w:tcW w:w="1188" w:type="dxa"/>
          </w:tcPr>
          <w:p w14:paraId="777BC734"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Pr>
          <w:p w14:paraId="629601A3" w14:textId="77777777" w:rsidR="00FB3D09" w:rsidRPr="002A677E" w:rsidRDefault="00FB3D09" w:rsidP="00822842">
            <w:pPr>
              <w:jc w:val="left"/>
              <w:rPr>
                <w:rStyle w:val="InstructionsTabelleberschrift"/>
                <w:rFonts w:ascii="Times New Roman" w:hAnsi="Times New Roman"/>
                <w:sz w:val="24"/>
              </w:rPr>
            </w:pPr>
            <w:r>
              <w:rPr>
                <w:rStyle w:val="InstructionsTabelleberschrift"/>
                <w:rFonts w:ascii="Times New Roman" w:hAnsi="Times New Roman"/>
                <w:sz w:val="24"/>
              </w:rPr>
              <w:t>GARANZIE</w:t>
            </w:r>
          </w:p>
          <w:p w14:paraId="2FC9ABD9" w14:textId="7CEFAF5C" w:rsidR="00FB3D09" w:rsidRPr="00E01F19" w:rsidRDefault="00FB3D09" w:rsidP="00181F07">
            <w:pPr>
              <w:rPr>
                <w:rFonts w:ascii="Times New Roman" w:hAnsi="Times New Roman"/>
                <w:sz w:val="24"/>
              </w:rPr>
            </w:pPr>
            <w:r>
              <w:rPr>
                <w:rFonts w:ascii="Times New Roman" w:hAnsi="Times New Roman"/>
                <w:sz w:val="24"/>
              </w:rPr>
              <w:t>Se gli importi delle esposizioni ponderati per il rischio sono calcolati secondo il metodo della sostituzione conformemente al capo 4 del regolamento (UE) n. 575/2013 (articolo</w:t>
            </w:r>
            <w:r w:rsidR="00181F07">
              <w:rPr>
                <w:rFonts w:ascii="Times New Roman" w:hAnsi="Times New Roman"/>
                <w:sz w:val="24"/>
              </w:rPr>
              <w:t> </w:t>
            </w:r>
            <w:r>
              <w:rPr>
                <w:rFonts w:ascii="Times New Roman" w:hAnsi="Times New Roman"/>
                <w:sz w:val="24"/>
              </w:rPr>
              <w:t>108, paragrafo 2 bis, seconda frase, articolo 183, paragrafo 1 bis, prima frase, seconda alternativa, articolo 235 bis, articolo 236 e articolo 236 bis), è indicato il valore corretto (GA) quale definito all'articolo 235 bis, paragrafo 1, del regolamento (UE) n.</w:t>
            </w:r>
            <w:r w:rsidR="00181F07">
              <w:rPr>
                <w:rFonts w:ascii="Times New Roman" w:hAnsi="Times New Roman"/>
                <w:sz w:val="24"/>
              </w:rPr>
              <w:t> </w:t>
            </w:r>
            <w:r>
              <w:rPr>
                <w:rFonts w:ascii="Times New Roman" w:hAnsi="Times New Roman"/>
                <w:sz w:val="24"/>
              </w:rPr>
              <w:t>575/2013.</w:t>
            </w:r>
          </w:p>
          <w:p w14:paraId="66D2714E" w14:textId="77777777" w:rsidR="00FB3D09" w:rsidRPr="00E01F19" w:rsidRDefault="00FB3D09" w:rsidP="00181F07">
            <w:pPr>
              <w:rPr>
                <w:rFonts w:ascii="Times New Roman" w:hAnsi="Times New Roman"/>
                <w:sz w:val="24"/>
              </w:rPr>
            </w:pPr>
            <w:r>
              <w:rPr>
                <w:rFonts w:ascii="Times New Roman" w:hAnsi="Times New Roman"/>
                <w:sz w:val="24"/>
              </w:rPr>
              <w:t xml:space="preserve">Se sono utilizzate stime interne della LGD conformemente all'articolo 183 del regolamento (UE) n. 575/2013 (ad eccezione del paragrafo 3), è segnalato il valore pertinente utilizzato nel modello interno. </w:t>
            </w:r>
          </w:p>
          <w:p w14:paraId="0F837DAE" w14:textId="6738B898" w:rsidR="00FB3D09" w:rsidRPr="002A677E" w:rsidRDefault="00FB3D09" w:rsidP="00181F07">
            <w:pPr>
              <w:rPr>
                <w:rFonts w:ascii="Times New Roman" w:hAnsi="Times New Roman"/>
                <w:sz w:val="24"/>
              </w:rPr>
            </w:pPr>
            <w:r>
              <w:rPr>
                <w:rFonts w:ascii="Times New Roman" w:hAnsi="Times New Roman"/>
                <w:sz w:val="24"/>
              </w:rPr>
              <w:t>Se si utilizza il metodo basato sulla modellizzazione della rettifica della PD/LGD conformemente all'articolo 108, paragrafo 2 bis, prima frase, e all'articolo 183, paragrafo</w:t>
            </w:r>
            <w:r w:rsidR="00181F07">
              <w:rPr>
                <w:rFonts w:ascii="Times New Roman" w:hAnsi="Times New Roman"/>
                <w:sz w:val="24"/>
              </w:rPr>
              <w:t> </w:t>
            </w:r>
            <w:r>
              <w:rPr>
                <w:rFonts w:ascii="Times New Roman" w:hAnsi="Times New Roman"/>
                <w:sz w:val="24"/>
              </w:rPr>
              <w:t>1</w:t>
            </w:r>
            <w:r w:rsidR="00181F07">
              <w:rPr>
                <w:rFonts w:ascii="Times New Roman" w:hAnsi="Times New Roman"/>
                <w:sz w:val="24"/>
              </w:rPr>
              <w:t> </w:t>
            </w:r>
            <w:r>
              <w:rPr>
                <w:rFonts w:ascii="Times New Roman" w:hAnsi="Times New Roman"/>
                <w:sz w:val="24"/>
              </w:rPr>
              <w:t>bis, e la rettifica è effettuata nella LGD, l'importo della garanzia è segnalato nella colonna 0150.</w:t>
            </w:r>
          </w:p>
        </w:tc>
      </w:tr>
      <w:tr w:rsidR="00FB3D09" w:rsidRPr="002A677E" w14:paraId="10449AF9" w14:textId="77777777" w:rsidTr="00822842">
        <w:tc>
          <w:tcPr>
            <w:tcW w:w="1188" w:type="dxa"/>
          </w:tcPr>
          <w:p w14:paraId="3EE21C34"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843" w:type="dxa"/>
          </w:tcPr>
          <w:p w14:paraId="0360D0F5"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DERIVATI SU CREDITI</w:t>
            </w:r>
          </w:p>
          <w:p w14:paraId="244ABC5F" w14:textId="10C61850" w:rsidR="00FB3D09" w:rsidRPr="002A677E" w:rsidRDefault="00FB3D09" w:rsidP="00181F07">
            <w:pPr>
              <w:rPr>
                <w:rFonts w:ascii="Times New Roman" w:hAnsi="Times New Roman"/>
                <w:sz w:val="24"/>
              </w:rPr>
            </w:pPr>
            <w:r>
              <w:rPr>
                <w:rFonts w:ascii="Times New Roman" w:hAnsi="Times New Roman"/>
                <w:sz w:val="24"/>
              </w:rPr>
              <w:t>Se gli importi delle esposizioni ponderati per il rischio sono calcolati secondo il metodo della sostituzione (articolo 108, paragrafo 2 bis, seconda frase, articolo 183, paragrafo</w:t>
            </w:r>
            <w:r w:rsidR="00181F07">
              <w:rPr>
                <w:rFonts w:ascii="Times New Roman" w:hAnsi="Times New Roman"/>
                <w:sz w:val="24"/>
              </w:rPr>
              <w:t> </w:t>
            </w:r>
            <w:r>
              <w:rPr>
                <w:rFonts w:ascii="Times New Roman" w:hAnsi="Times New Roman"/>
                <w:sz w:val="24"/>
              </w:rPr>
              <w:t>1</w:t>
            </w:r>
            <w:r w:rsidR="00181F07">
              <w:rPr>
                <w:rFonts w:ascii="Times New Roman" w:hAnsi="Times New Roman"/>
                <w:sz w:val="24"/>
              </w:rPr>
              <w:t> </w:t>
            </w:r>
            <w:r>
              <w:rPr>
                <w:rFonts w:ascii="Times New Roman" w:hAnsi="Times New Roman"/>
                <w:sz w:val="24"/>
              </w:rPr>
              <w:t>bis, prima frase, seconda alternativa, articolo 235 bis, articolo 236, e articolo</w:t>
            </w:r>
            <w:r w:rsidR="00181F07">
              <w:rPr>
                <w:rFonts w:ascii="Times New Roman" w:hAnsi="Times New Roman"/>
                <w:sz w:val="24"/>
              </w:rPr>
              <w:t> </w:t>
            </w:r>
            <w:r>
              <w:rPr>
                <w:rFonts w:ascii="Times New Roman" w:hAnsi="Times New Roman"/>
                <w:sz w:val="24"/>
              </w:rPr>
              <w:t>236 bis del regolamento (UE) n. 575/2013), è indicato il valore corretto (GA) quale definito all'articolo 235 bis, paragrafo 1, del regolamento (UE) n. 575/2013.</w:t>
            </w:r>
          </w:p>
          <w:p w14:paraId="4A934ED8" w14:textId="78F5B030" w:rsidR="00FB3D09" w:rsidRPr="002A677E" w:rsidRDefault="00FB3D09" w:rsidP="00181F07">
            <w:pPr>
              <w:rPr>
                <w:rFonts w:ascii="Times New Roman" w:hAnsi="Times New Roman"/>
                <w:sz w:val="24"/>
              </w:rPr>
            </w:pPr>
            <w:r>
              <w:rPr>
                <w:rFonts w:ascii="Times New Roman" w:hAnsi="Times New Roman"/>
                <w:sz w:val="24"/>
              </w:rPr>
              <w:t>Se si utilizza il metodo basato sulla modellizzazione della rettifica della PD/LGD conformemente all'articolo 108, paragrafo 2 bis, prima frase, all'articolo 183, paragrafo 1 bis, prima frase, prima alternativa e all'articolo 183, paragrafo 3, del regolamento n.</w:t>
            </w:r>
            <w:r w:rsidR="00181F07">
              <w:rPr>
                <w:rFonts w:ascii="Times New Roman" w:hAnsi="Times New Roman"/>
                <w:sz w:val="24"/>
              </w:rPr>
              <w:t> </w:t>
            </w:r>
            <w:r>
              <w:rPr>
                <w:rFonts w:ascii="Times New Roman" w:hAnsi="Times New Roman"/>
                <w:sz w:val="24"/>
              </w:rPr>
              <w:t>575/2013, e la rettifica è effettuata nella LGD, l'importo dei derivati su crediti è segnalato nella colonna 0160.</w:t>
            </w:r>
            <w:r>
              <w:rPr>
                <w:rFonts w:ascii="Times New Roman" w:hAnsi="Times New Roman"/>
                <w:color w:val="008080"/>
                <w:sz w:val="24"/>
                <w:u w:val="single"/>
              </w:rPr>
              <w:t xml:space="preserve"> </w:t>
            </w:r>
            <w:r>
              <w:rPr>
                <w:rFonts w:ascii="Times New Roman" w:hAnsi="Times New Roman"/>
                <w:sz w:val="24"/>
              </w:rPr>
              <w:t>È indicato il valore pertinente utilizzato nel modello interno dell’ente.</w:t>
            </w:r>
          </w:p>
        </w:tc>
      </w:tr>
      <w:tr w:rsidR="00FB3D09" w:rsidRPr="002A677E" w14:paraId="62414089" w14:textId="77777777" w:rsidTr="00822842">
        <w:tc>
          <w:tcPr>
            <w:tcW w:w="1188" w:type="dxa"/>
          </w:tcPr>
          <w:p w14:paraId="32FA0884"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843" w:type="dxa"/>
          </w:tcPr>
          <w:p w14:paraId="3D25836C" w14:textId="77777777" w:rsidR="00FB3D09" w:rsidRPr="002A677E" w:rsidRDefault="00FB3D09" w:rsidP="00181F07">
            <w:pPr>
              <w:rPr>
                <w:rFonts w:ascii="Times New Roman" w:hAnsi="Times New Roman"/>
                <w:b/>
                <w:sz w:val="24"/>
                <w:u w:val="single"/>
              </w:rPr>
            </w:pPr>
            <w:r>
              <w:rPr>
                <w:rFonts w:ascii="Times New Roman" w:hAnsi="Times New Roman"/>
                <w:b/>
                <w:sz w:val="24"/>
                <w:u w:val="single"/>
              </w:rPr>
              <w:t>ALTRA PROTEZIONE DEL CREDITO DI TIPO REALE</w:t>
            </w:r>
          </w:p>
          <w:p w14:paraId="632FAD69" w14:textId="77777777" w:rsidR="00FB3D09" w:rsidRPr="000059B8" w:rsidRDefault="00FB3D09" w:rsidP="00181F07">
            <w:pPr>
              <w:rPr>
                <w:rFonts w:ascii="Times New Roman" w:hAnsi="Times New Roman"/>
                <w:sz w:val="24"/>
              </w:rPr>
            </w:pPr>
            <w:r>
              <w:rPr>
                <w:rFonts w:ascii="Times New Roman" w:hAnsi="Times New Roman"/>
                <w:sz w:val="24"/>
              </w:rPr>
              <w:t>Se non sono utilizzate stime interne della LGD, si applica l'articolo 232, paragrafo 1, del regolamento (UE) n. 575/2013.</w:t>
            </w:r>
          </w:p>
          <w:p w14:paraId="371C738E" w14:textId="270F006B" w:rsidR="00FB3D09" w:rsidRPr="000059B8" w:rsidRDefault="00FB3D09" w:rsidP="00181F07">
            <w:pPr>
              <w:rPr>
                <w:rFonts w:ascii="Times New Roman" w:hAnsi="Times New Roman"/>
                <w:sz w:val="24"/>
              </w:rPr>
            </w:pPr>
            <w:r>
              <w:rPr>
                <w:rFonts w:ascii="Times New Roman" w:hAnsi="Times New Roman"/>
                <w:sz w:val="24"/>
              </w:rPr>
              <w:t>Se gli importi delle esposizioni ponderati per il rischio sono calcolati secondo il metodo della sostituzione (articolo 108, paragrafo 2 bis, seconda frase, articolo 183, paragrafo 1 bis, prima frase, seconda alternativa, articolo 235 bis, e articolo 236 del regolamento (UE) n.</w:t>
            </w:r>
            <w:r w:rsidR="00181F07">
              <w:rPr>
                <w:rFonts w:ascii="Times New Roman" w:hAnsi="Times New Roman"/>
                <w:sz w:val="24"/>
              </w:rPr>
              <w:t> </w:t>
            </w:r>
            <w:r>
              <w:rPr>
                <w:rFonts w:ascii="Times New Roman" w:hAnsi="Times New Roman"/>
                <w:sz w:val="24"/>
              </w:rPr>
              <w:t>575/2013), è indicato il valore corretto (GA) quale definito all'articolo 235 bis, paragrafo</w:t>
            </w:r>
            <w:r w:rsidR="00181F07">
              <w:rPr>
                <w:rFonts w:ascii="Times New Roman" w:hAnsi="Times New Roman"/>
                <w:sz w:val="24"/>
              </w:rPr>
              <w:t> </w:t>
            </w:r>
            <w:r>
              <w:rPr>
                <w:rFonts w:ascii="Times New Roman" w:hAnsi="Times New Roman"/>
                <w:sz w:val="24"/>
              </w:rPr>
              <w:t>1, del regolamento (UE) n. 575/2013.</w:t>
            </w:r>
          </w:p>
          <w:p w14:paraId="5989E354" w14:textId="7E30FA86" w:rsidR="00FB3D09" w:rsidRPr="000059B8" w:rsidRDefault="00FB3D09" w:rsidP="00181F07">
            <w:pPr>
              <w:rPr>
                <w:rFonts w:ascii="Times New Roman" w:hAnsi="Times New Roman"/>
                <w:sz w:val="24"/>
              </w:rPr>
            </w:pPr>
            <w:r>
              <w:rPr>
                <w:rFonts w:ascii="Times New Roman" w:hAnsi="Times New Roman"/>
                <w:sz w:val="24"/>
              </w:rPr>
              <w:lastRenderedPageBreak/>
              <w:t>L'esposizione è limitata al valore dell'esposizione originaria prima dell'applicazione dei fattori di conversione.</w:t>
            </w:r>
          </w:p>
          <w:p w14:paraId="74A46846" w14:textId="29D167DC" w:rsidR="00FB3D09" w:rsidRPr="002A677E" w:rsidRDefault="00FB3D09" w:rsidP="00181F07">
            <w:pPr>
              <w:rPr>
                <w:rStyle w:val="InstructionsTabelleText"/>
                <w:rFonts w:ascii="Times New Roman" w:hAnsi="Times New Roman"/>
                <w:sz w:val="24"/>
              </w:rPr>
            </w:pPr>
            <w:r>
              <w:rPr>
                <w:rFonts w:ascii="Times New Roman" w:hAnsi="Times New Roman"/>
                <w:sz w:val="24"/>
              </w:rPr>
              <w:t xml:space="preserve">Se la LGD è rettificata conformemente all'articolo 181 del regolamento (UE) n. 575/2013, tale importo è segnalato nella colonna 0170. </w:t>
            </w:r>
          </w:p>
        </w:tc>
      </w:tr>
      <w:tr w:rsidR="00FB3D09" w:rsidRPr="002A677E" w14:paraId="6C40B204" w14:textId="77777777" w:rsidTr="00822842">
        <w:tc>
          <w:tcPr>
            <w:tcW w:w="1188" w:type="dxa"/>
          </w:tcPr>
          <w:p w14:paraId="7C55B264" w14:textId="77777777" w:rsidR="00FB3D09" w:rsidRPr="002A677E" w:rsidRDefault="00FB3D09" w:rsidP="00822842">
            <w:pPr>
              <w:rPr>
                <w:rFonts w:ascii="Times New Roman" w:hAnsi="Times New Roman"/>
                <w:sz w:val="24"/>
              </w:rPr>
            </w:pPr>
            <w:r>
              <w:rPr>
                <w:rFonts w:ascii="Times New Roman" w:hAnsi="Times New Roman"/>
                <w:sz w:val="24"/>
              </w:rPr>
              <w:lastRenderedPageBreak/>
              <w:t>0070-0080</w:t>
            </w:r>
          </w:p>
        </w:tc>
        <w:tc>
          <w:tcPr>
            <w:tcW w:w="8843" w:type="dxa"/>
          </w:tcPr>
          <w:p w14:paraId="7EA9925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SOSTITUZIONE DELL'ESPOSIZIONE DOVUTA ALL'ATTENUAZIONE DEL RISCHIO DI CREDITO</w:t>
            </w:r>
          </w:p>
          <w:p w14:paraId="4A614404" w14:textId="0D3BCE2F" w:rsidR="00FB3D09" w:rsidRPr="000059B8" w:rsidRDefault="00FB3D09" w:rsidP="00822842">
            <w:pPr>
              <w:rPr>
                <w:rFonts w:ascii="Times New Roman" w:hAnsi="Times New Roman"/>
                <w:sz w:val="24"/>
              </w:rPr>
            </w:pPr>
            <w:r>
              <w:rPr>
                <w:rFonts w:ascii="Times New Roman" w:hAnsi="Times New Roman"/>
                <w:sz w:val="24"/>
              </w:rPr>
              <w:t>I deflussi corrispondono alla parte garantita dell'esposizione originaria prima dell'applicazione dei fattori di conversione che è dedotta dalla classe di esposizioni del debitore e, ove rilevante, dalla classe o dal pool di debitori e successivamente assegnata alla classe di esposizioni del fornitore della protezione e, ove rilevante, alla classe o al pool di debitori. Tale importo è considerato un afflusso nella classe di esposizioni del fornitore della protezione e, ove rilevante, nelle classi o nei pool di debitori.</w:t>
            </w:r>
          </w:p>
          <w:p w14:paraId="107B30E3" w14:textId="77777777" w:rsidR="00FB3D09" w:rsidRPr="000059B8" w:rsidRDefault="00FB3D09" w:rsidP="00822842">
            <w:pPr>
              <w:rPr>
                <w:rFonts w:ascii="Times New Roman" w:hAnsi="Times New Roman"/>
                <w:sz w:val="24"/>
              </w:rPr>
            </w:pPr>
            <w:r>
              <w:rPr>
                <w:rFonts w:ascii="Times New Roman" w:hAnsi="Times New Roman"/>
                <w:sz w:val="24"/>
              </w:rPr>
              <w:t>Si considerano anche gli afflussi e i deflussi all'interno delle medesime classi di esposizioni e, ove rilevante, delle medesime classi o pool di debitori.</w:t>
            </w:r>
          </w:p>
          <w:p w14:paraId="610F295D" w14:textId="77777777" w:rsidR="00FB3D09" w:rsidRPr="000059B8" w:rsidRDefault="00FB3D09" w:rsidP="00822842">
            <w:pPr>
              <w:rPr>
                <w:rFonts w:ascii="Times New Roman" w:hAnsi="Times New Roman"/>
                <w:sz w:val="24"/>
              </w:rPr>
            </w:pPr>
            <w:r>
              <w:rPr>
                <w:rFonts w:ascii="Times New Roman" w:hAnsi="Times New Roman"/>
                <w:sz w:val="24"/>
              </w:rPr>
              <w:t>Si tiene conto delle esposizioni derivanti da eventuali afflussi e deflussi da e verso altri modelli.</w:t>
            </w:r>
          </w:p>
          <w:p w14:paraId="1DB2B7C5" w14:textId="3BA23E22" w:rsidR="00FB3D09" w:rsidRPr="002A677E" w:rsidRDefault="00FB3D09" w:rsidP="00822842"/>
        </w:tc>
      </w:tr>
      <w:tr w:rsidR="00FB3D09" w:rsidRPr="002A677E" w14:paraId="29952085" w14:textId="77777777" w:rsidTr="00822842">
        <w:tc>
          <w:tcPr>
            <w:tcW w:w="1188" w:type="dxa"/>
          </w:tcPr>
          <w:p w14:paraId="08FA3F2A" w14:textId="77777777" w:rsidR="00FB3D09" w:rsidRPr="002A677E" w:rsidRDefault="00FB3D09" w:rsidP="00822842">
            <w:pPr>
              <w:rPr>
                <w:rFonts w:ascii="Times New Roman" w:hAnsi="Times New Roman"/>
                <w:sz w:val="24"/>
              </w:rPr>
            </w:pPr>
            <w:r>
              <w:rPr>
                <w:rFonts w:ascii="Times New Roman" w:hAnsi="Times New Roman"/>
                <w:sz w:val="24"/>
              </w:rPr>
              <w:t xml:space="preserve">0090 </w:t>
            </w:r>
          </w:p>
          <w:p w14:paraId="0355DD8B" w14:textId="77777777" w:rsidR="00FB3D09" w:rsidRPr="002A677E" w:rsidRDefault="00FB3D09" w:rsidP="00822842">
            <w:r>
              <w:t xml:space="preserve"> </w:t>
            </w:r>
            <w:r>
              <w:br/>
            </w:r>
          </w:p>
          <w:p w14:paraId="1020C237" w14:textId="77777777" w:rsidR="00FB3D09" w:rsidRPr="002A677E" w:rsidRDefault="00FB3D09" w:rsidP="00822842">
            <w:pPr>
              <w:rPr>
                <w:rFonts w:ascii="Times New Roman" w:hAnsi="Times New Roman"/>
                <w:sz w:val="24"/>
              </w:rPr>
            </w:pPr>
          </w:p>
        </w:tc>
        <w:tc>
          <w:tcPr>
            <w:tcW w:w="8843" w:type="dxa"/>
          </w:tcPr>
          <w:p w14:paraId="53C76B9B"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ESPOSIZIONE DOPO GLI EFFETTI DI SOSTITUZIONE DELL'ATTENUAZIONE DEL RISCHIO DI CREDITO PRIMA DELL'APPLICAZIONE DEI FATTORI DI CONVERSIONE</w:t>
            </w:r>
          </w:p>
          <w:p w14:paraId="2477F8EB" w14:textId="77777777" w:rsidR="00FB3D09" w:rsidRPr="002A677E" w:rsidRDefault="00FB3D09" w:rsidP="00822842">
            <w:pPr>
              <w:rPr>
                <w:rFonts w:ascii="Times New Roman" w:hAnsi="Times New Roman"/>
                <w:sz w:val="24"/>
              </w:rPr>
            </w:pPr>
            <w:r>
              <w:rPr>
                <w:rFonts w:ascii="Times New Roman" w:hAnsi="Times New Roman"/>
                <w:sz w:val="24"/>
              </w:rPr>
              <w:t>Esposizioni assegnate alla classe o al pool di debitori corrispondente e alla corrispondente classe di esposizioni dopo aver tenuto conto degli afflussi e dei deflussi dovuti a tecniche di attenuazione del rischio di credito con effetti di sostituzione sull'esposizione.</w:t>
            </w:r>
          </w:p>
        </w:tc>
      </w:tr>
      <w:tr w:rsidR="00FB3D09" w:rsidRPr="002A677E" w14:paraId="678E16FA" w14:textId="77777777" w:rsidTr="00822842">
        <w:tc>
          <w:tcPr>
            <w:tcW w:w="1188" w:type="dxa"/>
          </w:tcPr>
          <w:p w14:paraId="590D5D4A" w14:textId="77777777" w:rsidR="00FB3D09" w:rsidRPr="002A677E" w:rsidRDefault="00FB3D09" w:rsidP="00822842">
            <w:pPr>
              <w:rPr>
                <w:rFonts w:ascii="Times New Roman" w:hAnsi="Times New Roman"/>
                <w:sz w:val="24"/>
              </w:rPr>
            </w:pPr>
            <w:r>
              <w:rPr>
                <w:rFonts w:ascii="Times New Roman" w:hAnsi="Times New Roman"/>
                <w:sz w:val="24"/>
              </w:rPr>
              <w:t>0100, 0120</w:t>
            </w:r>
          </w:p>
        </w:tc>
        <w:tc>
          <w:tcPr>
            <w:tcW w:w="8843" w:type="dxa"/>
          </w:tcPr>
          <w:p w14:paraId="70C0CAF4"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 xml:space="preserve">di cui: elementi fuori bilancio </w:t>
            </w:r>
          </w:p>
          <w:p w14:paraId="2F36E223" w14:textId="77777777" w:rsidR="00FB3D09" w:rsidRPr="002A677E" w:rsidRDefault="00FB3D09" w:rsidP="00822842">
            <w:pPr>
              <w:rPr>
                <w:rFonts w:ascii="Times New Roman" w:hAnsi="Times New Roman"/>
                <w:sz w:val="24"/>
              </w:rPr>
            </w:pPr>
            <w:r>
              <w:rPr>
                <w:rFonts w:ascii="Times New Roman" w:hAnsi="Times New Roman"/>
                <w:sz w:val="24"/>
              </w:rPr>
              <w:t>Cfr. le istruzioni relative al modello CR-SA.</w:t>
            </w:r>
          </w:p>
        </w:tc>
      </w:tr>
      <w:tr w:rsidR="00FB3D09" w:rsidRPr="002A677E" w14:paraId="00A4DCE6" w14:textId="77777777" w:rsidTr="00822842">
        <w:tc>
          <w:tcPr>
            <w:tcW w:w="1188" w:type="dxa"/>
          </w:tcPr>
          <w:p w14:paraId="511472D9" w14:textId="77777777" w:rsidR="00FB3D09" w:rsidRPr="002A677E" w:rsidRDefault="00FB3D09" w:rsidP="00822842">
            <w:pPr>
              <w:rPr>
                <w:rFonts w:ascii="Times New Roman" w:hAnsi="Times New Roman"/>
                <w:sz w:val="24"/>
              </w:rPr>
            </w:pPr>
            <w:r>
              <w:rPr>
                <w:rFonts w:ascii="Times New Roman" w:hAnsi="Times New Roman"/>
                <w:sz w:val="24"/>
              </w:rPr>
              <w:t>0101-0107</w:t>
            </w:r>
          </w:p>
        </w:tc>
        <w:tc>
          <w:tcPr>
            <w:tcW w:w="8843" w:type="dxa"/>
          </w:tcPr>
          <w:p w14:paraId="1886DC9B" w14:textId="77777777" w:rsidR="00FB3D09" w:rsidRPr="00B7761D"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RIPARTIZIONE PER FATTORI DI CONVERSIONE DEL VALORE DELL'ESPOSIZIONE CORRETTO INTEGRALMENTE DEGLI ELEMENTI FUORI BILANCIO</w:t>
            </w:r>
          </w:p>
          <w:p w14:paraId="08C9DDC2" w14:textId="77777777" w:rsidR="00FB3D09" w:rsidRPr="002A677E" w:rsidRDefault="00FB3D09" w:rsidP="00822842">
            <w:pPr>
              <w:pStyle w:val="InstructionsText"/>
            </w:pPr>
            <w:r>
              <w:t>Articolo 166, paragrafo 8, conformemente ai paragrafi 8 bis e 8 ter e articolo 151, paragrafo 8, del regolamento (UE) n. 575/2013.</w:t>
            </w:r>
          </w:p>
          <w:p w14:paraId="434D1ED6" w14:textId="77777777" w:rsidR="00FB3D09" w:rsidRPr="00E438EB" w:rsidRDefault="00FB3D09" w:rsidP="00822842">
            <w:pPr>
              <w:rPr>
                <w:rStyle w:val="InstructionsTabelleberschrift"/>
                <w:rFonts w:ascii="Times New Roman" w:hAnsi="Times New Roman"/>
                <w:sz w:val="24"/>
              </w:rPr>
            </w:pPr>
            <w:r>
              <w:rPr>
                <w:rFonts w:ascii="Times New Roman" w:hAnsi="Times New Roman"/>
                <w:sz w:val="24"/>
              </w:rPr>
              <w:t>Indicare i valori dell'esposizione corretta integralmente prima dell'applicazione del fattore di conversione.</w:t>
            </w:r>
          </w:p>
        </w:tc>
      </w:tr>
      <w:tr w:rsidR="00FB3D09" w:rsidRPr="002A677E" w14:paraId="56ED3146" w14:textId="77777777" w:rsidTr="00822842">
        <w:tc>
          <w:tcPr>
            <w:tcW w:w="1188" w:type="dxa"/>
          </w:tcPr>
          <w:p w14:paraId="4FBB1F46" w14:textId="77777777" w:rsidR="00FB3D09" w:rsidRDefault="00FB3D09" w:rsidP="00822842">
            <w:pPr>
              <w:rPr>
                <w:rFonts w:ascii="Times New Roman" w:hAnsi="Times New Roman"/>
                <w:sz w:val="24"/>
              </w:rPr>
            </w:pPr>
            <w:r>
              <w:rPr>
                <w:rFonts w:ascii="Times New Roman" w:hAnsi="Times New Roman"/>
                <w:sz w:val="24"/>
              </w:rPr>
              <w:t>0101</w:t>
            </w:r>
          </w:p>
        </w:tc>
        <w:tc>
          <w:tcPr>
            <w:tcW w:w="8843" w:type="dxa"/>
          </w:tcPr>
          <w:p w14:paraId="58AB915A" w14:textId="77777777" w:rsidR="00FB3D09" w:rsidRPr="00B7761D"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FATTORI DI CONVERSIONE MODELLIZZATI</w:t>
            </w:r>
          </w:p>
          <w:p w14:paraId="48F41598" w14:textId="77777777" w:rsidR="00FB3D09" w:rsidRPr="00E438EB" w:rsidRDefault="00FB3D09" w:rsidP="00822842">
            <w:pPr>
              <w:pStyle w:val="InstructionsText"/>
              <w:rPr>
                <w:rStyle w:val="InstructionsTabelleberschrift"/>
                <w:rFonts w:ascii="Times New Roman" w:hAnsi="Times New Roman"/>
                <w:b w:val="0"/>
                <w:sz w:val="24"/>
                <w:u w:val="none"/>
              </w:rPr>
            </w:pPr>
            <w:r>
              <w:t>Articolo 166, paragrafi 8 ter e 8 quater, e articolo 182 del regolamento (UE) n. 575/2013.</w:t>
            </w:r>
          </w:p>
        </w:tc>
      </w:tr>
      <w:tr w:rsidR="00FB3D09" w:rsidRPr="002A677E" w14:paraId="723ED349" w14:textId="77777777" w:rsidTr="00822842">
        <w:tc>
          <w:tcPr>
            <w:tcW w:w="1188" w:type="dxa"/>
          </w:tcPr>
          <w:p w14:paraId="64882817" w14:textId="77777777" w:rsidR="00FB3D09" w:rsidRDefault="00FB3D09" w:rsidP="00822842">
            <w:pPr>
              <w:rPr>
                <w:rFonts w:ascii="Times New Roman" w:hAnsi="Times New Roman"/>
                <w:sz w:val="24"/>
              </w:rPr>
            </w:pPr>
            <w:r>
              <w:rPr>
                <w:rFonts w:ascii="Times New Roman" w:hAnsi="Times New Roman"/>
                <w:sz w:val="24"/>
              </w:rPr>
              <w:t>0102-0107</w:t>
            </w:r>
          </w:p>
        </w:tc>
        <w:tc>
          <w:tcPr>
            <w:tcW w:w="8843" w:type="dxa"/>
          </w:tcPr>
          <w:p w14:paraId="5676D624" w14:textId="77777777" w:rsidR="00FB3D09" w:rsidRPr="00B7761D"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FATTORI DI CONVERSIONE STANDARD</w:t>
            </w:r>
          </w:p>
          <w:p w14:paraId="2802107A" w14:textId="77777777" w:rsidR="00FB3D09" w:rsidRPr="00433E67" w:rsidRDefault="00FB3D09" w:rsidP="00822842">
            <w:pPr>
              <w:rPr>
                <w:rStyle w:val="InstructionsTabelleberschrift"/>
                <w:rFonts w:ascii="Times New Roman" w:hAnsi="Times New Roman"/>
                <w:sz w:val="24"/>
              </w:rPr>
            </w:pPr>
            <w:r>
              <w:rPr>
                <w:rFonts w:ascii="Times New Roman" w:hAnsi="Times New Roman"/>
                <w:sz w:val="24"/>
              </w:rPr>
              <w:t>Articolo 166, paragrafo 8 bis, del regolamento (UE) n. 575/2013.</w:t>
            </w:r>
          </w:p>
        </w:tc>
      </w:tr>
      <w:tr w:rsidR="00FB3D09" w:rsidRPr="002A677E" w14:paraId="72A515B8" w14:textId="77777777" w:rsidTr="00822842">
        <w:tc>
          <w:tcPr>
            <w:tcW w:w="1188" w:type="dxa"/>
          </w:tcPr>
          <w:p w14:paraId="6F3C95D9" w14:textId="77777777" w:rsidR="00FB3D09" w:rsidRPr="002A677E" w:rsidRDefault="00FB3D09" w:rsidP="00822842">
            <w:pPr>
              <w:rPr>
                <w:rFonts w:ascii="Times New Roman" w:hAnsi="Times New Roman"/>
                <w:sz w:val="24"/>
              </w:rPr>
            </w:pPr>
            <w:r>
              <w:rPr>
                <w:rFonts w:ascii="Times New Roman" w:hAnsi="Times New Roman"/>
                <w:sz w:val="24"/>
              </w:rPr>
              <w:t>0110</w:t>
            </w:r>
          </w:p>
        </w:tc>
        <w:tc>
          <w:tcPr>
            <w:tcW w:w="8843" w:type="dxa"/>
          </w:tcPr>
          <w:p w14:paraId="024D894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VALORE DELL'ESPOSIZIONE</w:t>
            </w:r>
          </w:p>
          <w:p w14:paraId="7397AAAD" w14:textId="77777777" w:rsidR="00FB3D09" w:rsidRPr="002A677E" w:rsidRDefault="00FB3D09" w:rsidP="00822842">
            <w:pPr>
              <w:rPr>
                <w:rFonts w:ascii="Times New Roman" w:hAnsi="Times New Roman"/>
                <w:sz w:val="24"/>
              </w:rPr>
            </w:pPr>
            <w:r>
              <w:rPr>
                <w:rFonts w:ascii="Times New Roman" w:hAnsi="Times New Roman"/>
                <w:sz w:val="24"/>
              </w:rPr>
              <w:lastRenderedPageBreak/>
              <w:t>Sono segnalati i valori delle esposizioni determinati conformemente all'articolo 166 e all'articolo 230, paragrafo 1, seconda frase, del regolamento (UE) n. 575/2013.</w:t>
            </w:r>
          </w:p>
          <w:p w14:paraId="1C7B98CD" w14:textId="775FF974" w:rsidR="00FB3D09" w:rsidRPr="002A677E" w:rsidRDefault="00FB3D09" w:rsidP="00822842">
            <w:pPr>
              <w:rPr>
                <w:rFonts w:ascii="Times New Roman" w:hAnsi="Times New Roman"/>
                <w:sz w:val="24"/>
              </w:rPr>
            </w:pPr>
            <w:r>
              <w:rPr>
                <w:rFonts w:ascii="Times New Roman" w:hAnsi="Times New Roman"/>
                <w:sz w:val="24"/>
              </w:rPr>
              <w:t>Agli strumenti di cui all'allegato I si applicano i fattori di conversione del credito e le percentuali di cui all'articolo 166, paragrafi 8 e 9, del regolamento (UE) n. 575/2013, a prescindere dal metodo scelto dall'ente.</w:t>
            </w:r>
          </w:p>
          <w:p w14:paraId="4CA1B4E2" w14:textId="77777777" w:rsidR="00FB3D09" w:rsidRPr="002A677E" w:rsidRDefault="00FB3D09" w:rsidP="00822842">
            <w:pPr>
              <w:rPr>
                <w:rFonts w:ascii="Times New Roman" w:hAnsi="Times New Roman"/>
                <w:sz w:val="24"/>
              </w:rPr>
            </w:pPr>
            <w:r>
              <w:rPr>
                <w:rFonts w:ascii="Times New Roman" w:hAnsi="Times New Roman"/>
                <w:sz w:val="24"/>
              </w:rPr>
              <w:t>I valori delle esposizioni soggette al rischio di controparte sono gli stessi indicati nella colonna 0130.</w:t>
            </w:r>
          </w:p>
        </w:tc>
      </w:tr>
      <w:tr w:rsidR="00FB3D09" w:rsidRPr="002A677E" w14:paraId="7E1EABB6" w14:textId="77777777" w:rsidTr="00822842">
        <w:tc>
          <w:tcPr>
            <w:tcW w:w="1188" w:type="dxa"/>
          </w:tcPr>
          <w:p w14:paraId="423F28F5" w14:textId="77777777" w:rsidR="00FB3D09" w:rsidRPr="002A677E" w:rsidRDefault="00FB3D09" w:rsidP="00822842">
            <w:pPr>
              <w:rPr>
                <w:rFonts w:ascii="Times New Roman" w:hAnsi="Times New Roman"/>
                <w:sz w:val="24"/>
              </w:rPr>
            </w:pPr>
            <w:r>
              <w:rPr>
                <w:rFonts w:ascii="Times New Roman" w:hAnsi="Times New Roman"/>
                <w:sz w:val="24"/>
              </w:rPr>
              <w:lastRenderedPageBreak/>
              <w:t>0130</w:t>
            </w:r>
          </w:p>
        </w:tc>
        <w:tc>
          <w:tcPr>
            <w:tcW w:w="8843" w:type="dxa"/>
          </w:tcPr>
          <w:p w14:paraId="0C131540"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 xml:space="preserve">di cui: derivante dal rischio di controparte </w:t>
            </w:r>
          </w:p>
          <w:p w14:paraId="5322EE59" w14:textId="77777777" w:rsidR="00FB3D09" w:rsidRPr="002A677E" w:rsidRDefault="00FB3D09" w:rsidP="00822842">
            <w:pPr>
              <w:rPr>
                <w:rFonts w:ascii="Times New Roman" w:hAnsi="Times New Roman"/>
                <w:sz w:val="24"/>
              </w:rPr>
            </w:pPr>
            <w:r>
              <w:rPr>
                <w:rFonts w:ascii="Times New Roman" w:hAnsi="Times New Roman"/>
                <w:sz w:val="24"/>
              </w:rPr>
              <w:t>Cfr. le corrispondenti istruzioni per il modello CR SA nella colonna 0210.</w:t>
            </w:r>
            <w:r>
              <w:rPr>
                <w:rStyle w:val="InstructionsTabelleText"/>
                <w:rFonts w:ascii="Times New Roman" w:hAnsi="Times New Roman"/>
                <w:sz w:val="24"/>
              </w:rPr>
              <w:t xml:space="preserve"> </w:t>
            </w:r>
          </w:p>
        </w:tc>
      </w:tr>
      <w:tr w:rsidR="00FB3D09" w:rsidRPr="002A677E" w14:paraId="5236CDCC" w14:textId="77777777" w:rsidTr="00822842">
        <w:tc>
          <w:tcPr>
            <w:tcW w:w="1188" w:type="dxa"/>
          </w:tcPr>
          <w:p w14:paraId="79AE6E15" w14:textId="77777777" w:rsidR="00FB3D09" w:rsidRPr="002A677E" w:rsidRDefault="00FB3D09" w:rsidP="00822842">
            <w:pPr>
              <w:rPr>
                <w:rFonts w:ascii="Times New Roman" w:hAnsi="Times New Roman"/>
                <w:sz w:val="24"/>
              </w:rPr>
            </w:pPr>
            <w:r>
              <w:rPr>
                <w:rFonts w:ascii="Times New Roman" w:hAnsi="Times New Roman"/>
                <w:sz w:val="24"/>
              </w:rPr>
              <w:t>0140</w:t>
            </w:r>
          </w:p>
        </w:tc>
        <w:tc>
          <w:tcPr>
            <w:tcW w:w="8843" w:type="dxa"/>
          </w:tcPr>
          <w:p w14:paraId="33C21D55"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DI CUI: SOGGETTI DI GRANDI DIMENSIONI DEL SETTORE FINANZIARIO E SOGGETTI FINANZIARI NON REGOLAMENTATI</w:t>
            </w:r>
          </w:p>
          <w:p w14:paraId="38EC098A" w14:textId="77777777" w:rsidR="00FB3D09" w:rsidRPr="002A677E" w:rsidRDefault="00FB3D09" w:rsidP="00822842">
            <w:pPr>
              <w:rPr>
                <w:rFonts w:ascii="Times New Roman" w:hAnsi="Times New Roman"/>
                <w:b/>
                <w:sz w:val="24"/>
                <w:u w:val="single"/>
              </w:rPr>
            </w:pPr>
            <w:r>
              <w:rPr>
                <w:rFonts w:ascii="Times New Roman" w:hAnsi="Times New Roman"/>
                <w:sz w:val="24"/>
              </w:rPr>
              <w:t>Ripartizione del valore dell'esposizione per tutte le esposizioni verso i soggetti di cui all'articolo 142, paragrafo 1, punti 4 e 5, del regolamento (UE) n. 575/2013, cui si applica il coefficiente di correlazione più elevato determinato conformemente all'articolo 153, paragrafo 2, di tale regolamento.</w:t>
            </w:r>
          </w:p>
        </w:tc>
      </w:tr>
      <w:tr w:rsidR="00FB3D09" w:rsidRPr="002A677E" w14:paraId="5C3F07BE" w14:textId="77777777" w:rsidTr="00822842">
        <w:trPr>
          <w:trHeight w:val="708"/>
        </w:trPr>
        <w:tc>
          <w:tcPr>
            <w:tcW w:w="1188" w:type="dxa"/>
          </w:tcPr>
          <w:p w14:paraId="1B81DCB5" w14:textId="77777777" w:rsidR="00FB3D09" w:rsidRPr="002A677E" w:rsidDel="001D4BE0" w:rsidRDefault="00FB3D09" w:rsidP="00822842">
            <w:pPr>
              <w:rPr>
                <w:rFonts w:ascii="Times New Roman" w:hAnsi="Times New Roman"/>
                <w:sz w:val="24"/>
              </w:rPr>
            </w:pPr>
            <w:r>
              <w:rPr>
                <w:rFonts w:ascii="Times New Roman" w:hAnsi="Times New Roman"/>
                <w:sz w:val="24"/>
              </w:rPr>
              <w:t>0150-0210</w:t>
            </w:r>
          </w:p>
        </w:tc>
        <w:tc>
          <w:tcPr>
            <w:tcW w:w="8843" w:type="dxa"/>
          </w:tcPr>
          <w:p w14:paraId="5FFCDE2C" w14:textId="37F1BD92"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TECNICHE DI ATTENUAZIONE DEL RISCHIO DI CREDITO PRESE IN CONSIDERAZIONE NELLE STIME DELLA LGD </w:t>
            </w:r>
          </w:p>
          <w:p w14:paraId="02E436B3" w14:textId="77777777" w:rsidR="00FB3D09" w:rsidRDefault="00FB3D09" w:rsidP="00822842">
            <w:pPr>
              <w:rPr>
                <w:rFonts w:ascii="Times New Roman" w:hAnsi="Times New Roman"/>
                <w:sz w:val="24"/>
              </w:rPr>
            </w:pPr>
            <w:r>
              <w:rPr>
                <w:rFonts w:ascii="Times New Roman" w:hAnsi="Times New Roman"/>
                <w:sz w:val="24"/>
              </w:rPr>
              <w:t>Non sono comprese in queste colonne le tecniche di attenuazione del rischio di credito che hanno un impatto sulle stime della LGD in conseguenza dell'applicazione del loro effetto di sostituzione.</w:t>
            </w:r>
          </w:p>
          <w:p w14:paraId="0813160C" w14:textId="77777777" w:rsidR="00FB3D09" w:rsidRPr="002A677E" w:rsidRDefault="00FB3D09" w:rsidP="00822842">
            <w:pPr>
              <w:rPr>
                <w:rFonts w:ascii="Times New Roman" w:hAnsi="Times New Roman"/>
                <w:sz w:val="24"/>
              </w:rPr>
            </w:pPr>
            <w:r>
              <w:rPr>
                <w:rFonts w:ascii="Times New Roman" w:hAnsi="Times New Roman"/>
                <w:sz w:val="24"/>
              </w:rPr>
              <w:t>I valori delle garanzie reali segnalati sono soggetti ad un limite massimo pari al valore delle esposizioni.</w:t>
            </w:r>
          </w:p>
          <w:p w14:paraId="5F41737F" w14:textId="02BF2E74" w:rsidR="00FB3D09" w:rsidRPr="002A677E" w:rsidRDefault="00FB3D09" w:rsidP="00822842">
            <w:pPr>
              <w:rPr>
                <w:rFonts w:ascii="Times New Roman" w:hAnsi="Times New Roman"/>
                <w:sz w:val="24"/>
              </w:rPr>
            </w:pPr>
            <w:r>
              <w:rPr>
                <w:rFonts w:ascii="Times New Roman" w:hAnsi="Times New Roman"/>
                <w:sz w:val="24"/>
              </w:rPr>
              <w:t>Se non sono utilizzate stime interne della LGD, si tiene conto dell'articolo 230, punti 1, 2 e 4, e dell'articolo 231 del regolamento (UE) n. 575/2013.</w:t>
            </w:r>
          </w:p>
          <w:p w14:paraId="6CF8B541" w14:textId="77777777" w:rsidR="00FB3D09" w:rsidRPr="002A677E" w:rsidRDefault="00FB3D09" w:rsidP="00822842">
            <w:pPr>
              <w:rPr>
                <w:rFonts w:ascii="Times New Roman" w:hAnsi="Times New Roman"/>
                <w:sz w:val="24"/>
              </w:rPr>
            </w:pPr>
            <w:r>
              <w:rPr>
                <w:rFonts w:ascii="Times New Roman" w:hAnsi="Times New Roman"/>
                <w:sz w:val="24"/>
              </w:rPr>
              <w:t xml:space="preserve">Se sono utilizzate stime interne della LGD: </w:t>
            </w:r>
          </w:p>
          <w:p w14:paraId="1C4E5F46" w14:textId="77777777" w:rsidR="00FB3D09" w:rsidRPr="002A677E" w:rsidRDefault="00FB3D09" w:rsidP="00822842">
            <w:pPr>
              <w:rPr>
                <w:rFonts w:ascii="Times New Roman" w:hAnsi="Times New Roman"/>
                <w:sz w:val="24"/>
              </w:rPr>
            </w:pPr>
            <w:r>
              <w:rPr>
                <w:rFonts w:ascii="Times New Roman" w:hAnsi="Times New Roman"/>
                <w:sz w:val="24"/>
              </w:rPr>
              <w:t>- nel caso di protezione del credito di tipo personale, per le esposizioni verso amministrazioni centrali, banche centrali, enti e imprese si tiene conto dell'articolo 161, paragrafo 3, del regolamento (UE) n. 575/2013; per le esposizioni al dettaglio si tiene conto dell'articolo 164, paragrafo 2, del regolamento (UE) n. 575/2013;</w:t>
            </w:r>
          </w:p>
          <w:p w14:paraId="05A9C033" w14:textId="77EB8079" w:rsidR="00FB3D09" w:rsidRPr="002A677E" w:rsidRDefault="00FB3D09" w:rsidP="00822842">
            <w:pPr>
              <w:rPr>
                <w:rFonts w:ascii="Times New Roman" w:hAnsi="Times New Roman"/>
                <w:b/>
                <w:sz w:val="24"/>
                <w:u w:val="single"/>
              </w:rPr>
            </w:pPr>
            <w:r>
              <w:rPr>
                <w:rFonts w:ascii="Times New Roman" w:hAnsi="Times New Roman"/>
                <w:sz w:val="24"/>
              </w:rPr>
              <w:t>- nel caso di protezione del credito di tipo reale, le garanzie reali sono prese in considerazione nelle stime della LGD conformemente all'articolo 181, paragrafo 1, lettere</w:t>
            </w:r>
            <w:r w:rsidR="00181F07">
              <w:rPr>
                <w:rFonts w:ascii="Times New Roman" w:hAnsi="Times New Roman"/>
                <w:sz w:val="24"/>
              </w:rPr>
              <w:t> </w:t>
            </w:r>
            <w:r>
              <w:rPr>
                <w:rFonts w:ascii="Times New Roman" w:hAnsi="Times New Roman"/>
                <w:sz w:val="24"/>
              </w:rPr>
              <w:t>e) ed f), del regolamento (UE) n. 575/2013.</w:t>
            </w:r>
          </w:p>
        </w:tc>
      </w:tr>
      <w:tr w:rsidR="00FB3D09" w:rsidRPr="002A677E" w14:paraId="4CC8BF71" w14:textId="77777777" w:rsidTr="00822842">
        <w:trPr>
          <w:trHeight w:val="957"/>
        </w:trPr>
        <w:tc>
          <w:tcPr>
            <w:tcW w:w="1188" w:type="dxa"/>
          </w:tcPr>
          <w:p w14:paraId="7918EC18" w14:textId="77777777" w:rsidR="00FB3D09" w:rsidRPr="002A677E" w:rsidRDefault="00FB3D09" w:rsidP="00822842">
            <w:pPr>
              <w:rPr>
                <w:rFonts w:ascii="Times New Roman" w:hAnsi="Times New Roman"/>
                <w:sz w:val="24"/>
              </w:rPr>
            </w:pPr>
            <w:r>
              <w:rPr>
                <w:rFonts w:ascii="Times New Roman" w:hAnsi="Times New Roman"/>
                <w:sz w:val="24"/>
              </w:rPr>
              <w:t>0150</w:t>
            </w:r>
          </w:p>
        </w:tc>
        <w:tc>
          <w:tcPr>
            <w:tcW w:w="8843" w:type="dxa"/>
          </w:tcPr>
          <w:p w14:paraId="4C26606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GARANZIE </w:t>
            </w:r>
          </w:p>
          <w:p w14:paraId="774C7F9E" w14:textId="77777777" w:rsidR="00FB3D09" w:rsidRPr="002A677E" w:rsidRDefault="00FB3D09" w:rsidP="00822842">
            <w:pPr>
              <w:jc w:val="left"/>
              <w:rPr>
                <w:rFonts w:ascii="Times New Roman" w:hAnsi="Times New Roman"/>
                <w:b/>
                <w:sz w:val="24"/>
                <w:u w:val="single"/>
              </w:rPr>
            </w:pPr>
            <w:r>
              <w:rPr>
                <w:rFonts w:ascii="Times New Roman" w:hAnsi="Times New Roman"/>
                <w:sz w:val="24"/>
              </w:rPr>
              <w:t>Cfr. le istruzioni relative alla colonna 0040.</w:t>
            </w:r>
          </w:p>
        </w:tc>
      </w:tr>
      <w:tr w:rsidR="00FB3D09" w:rsidRPr="002A677E" w14:paraId="052C8B55" w14:textId="77777777" w:rsidTr="00822842">
        <w:tc>
          <w:tcPr>
            <w:tcW w:w="1188" w:type="dxa"/>
          </w:tcPr>
          <w:p w14:paraId="4C653362" w14:textId="77777777" w:rsidR="00FB3D09" w:rsidRPr="002A677E" w:rsidRDefault="00FB3D09" w:rsidP="00822842">
            <w:pPr>
              <w:rPr>
                <w:rFonts w:ascii="Times New Roman" w:hAnsi="Times New Roman"/>
                <w:sz w:val="24"/>
              </w:rPr>
            </w:pPr>
            <w:r>
              <w:rPr>
                <w:rFonts w:ascii="Times New Roman" w:hAnsi="Times New Roman"/>
                <w:sz w:val="24"/>
              </w:rPr>
              <w:t>0160</w:t>
            </w:r>
          </w:p>
        </w:tc>
        <w:tc>
          <w:tcPr>
            <w:tcW w:w="8843" w:type="dxa"/>
          </w:tcPr>
          <w:p w14:paraId="61710E9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DERIVATI SU CREDITI </w:t>
            </w:r>
          </w:p>
          <w:p w14:paraId="4948B3F5" w14:textId="77777777" w:rsidR="00FB3D09" w:rsidRPr="002A677E" w:rsidRDefault="00FB3D09" w:rsidP="00822842">
            <w:pPr>
              <w:rPr>
                <w:rFonts w:ascii="Times New Roman" w:hAnsi="Times New Roman"/>
                <w:sz w:val="24"/>
              </w:rPr>
            </w:pPr>
            <w:r>
              <w:rPr>
                <w:rFonts w:ascii="Times New Roman" w:hAnsi="Times New Roman"/>
                <w:sz w:val="24"/>
              </w:rPr>
              <w:t>Cfr. le istruzioni relative alla colonna 0050.</w:t>
            </w:r>
          </w:p>
        </w:tc>
      </w:tr>
      <w:tr w:rsidR="00FB3D09" w14:paraId="66ECA0F4" w14:textId="77777777" w:rsidTr="00822842">
        <w:trPr>
          <w:trHeight w:val="300"/>
        </w:trPr>
        <w:tc>
          <w:tcPr>
            <w:tcW w:w="1188" w:type="dxa"/>
          </w:tcPr>
          <w:p w14:paraId="18EA00BE" w14:textId="77777777" w:rsidR="00FB3D09" w:rsidRDefault="00FB3D09" w:rsidP="00822842">
            <w:pPr>
              <w:rPr>
                <w:rFonts w:ascii="Times New Roman" w:hAnsi="Times New Roman"/>
                <w:sz w:val="24"/>
              </w:rPr>
            </w:pPr>
            <w:r>
              <w:rPr>
                <w:rFonts w:ascii="Times New Roman" w:hAnsi="Times New Roman"/>
                <w:sz w:val="24"/>
              </w:rPr>
              <w:t>0170-0210</w:t>
            </w:r>
          </w:p>
        </w:tc>
        <w:tc>
          <w:tcPr>
            <w:tcW w:w="8843" w:type="dxa"/>
          </w:tcPr>
          <w:p w14:paraId="642B29BA" w14:textId="77777777" w:rsidR="00FB3D09" w:rsidRDefault="00FB3D09" w:rsidP="00822842">
            <w:pPr>
              <w:rPr>
                <w:rFonts w:ascii="Times New Roman" w:hAnsi="Times New Roman"/>
                <w:b/>
                <w:bCs/>
                <w:sz w:val="24"/>
                <w:u w:val="single"/>
              </w:rPr>
            </w:pPr>
            <w:r>
              <w:rPr>
                <w:rFonts w:ascii="Times New Roman" w:hAnsi="Times New Roman"/>
                <w:b/>
                <w:sz w:val="24"/>
                <w:u w:val="single"/>
              </w:rPr>
              <w:t>PROTEZIONE DEL CREDITO DI TIPO REALE</w:t>
            </w:r>
          </w:p>
        </w:tc>
      </w:tr>
      <w:tr w:rsidR="00FB3D09" w:rsidRPr="002A677E" w14:paraId="4AF255C0" w14:textId="77777777" w:rsidTr="00822842">
        <w:tc>
          <w:tcPr>
            <w:tcW w:w="1188" w:type="dxa"/>
          </w:tcPr>
          <w:p w14:paraId="1EE7AF6C" w14:textId="77777777" w:rsidR="00FB3D09" w:rsidRPr="002A677E" w:rsidRDefault="00FB3D09" w:rsidP="00822842">
            <w:pPr>
              <w:rPr>
                <w:rFonts w:ascii="Times New Roman" w:hAnsi="Times New Roman"/>
                <w:sz w:val="24"/>
              </w:rPr>
            </w:pPr>
            <w:r>
              <w:rPr>
                <w:rFonts w:ascii="Times New Roman" w:hAnsi="Times New Roman"/>
                <w:sz w:val="24"/>
              </w:rPr>
              <w:lastRenderedPageBreak/>
              <w:t>0170-0173</w:t>
            </w:r>
          </w:p>
        </w:tc>
        <w:tc>
          <w:tcPr>
            <w:tcW w:w="8843" w:type="dxa"/>
          </w:tcPr>
          <w:p w14:paraId="39418299"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UTILIZZO DI STIME INTERNE DELLA LGD: ALTRA PROTEZIONE DEL CREDITO DI TIPO REALE </w:t>
            </w:r>
          </w:p>
          <w:p w14:paraId="213C028C" w14:textId="77777777" w:rsidR="00FB3D09" w:rsidRPr="000059B8" w:rsidRDefault="00FB3D09" w:rsidP="00822842">
            <w:pPr>
              <w:rPr>
                <w:rStyle w:val="InstructionsTabelleText"/>
                <w:rFonts w:ascii="Times New Roman" w:hAnsi="Times New Roman"/>
                <w:sz w:val="24"/>
              </w:rPr>
            </w:pPr>
            <w:r>
              <w:rPr>
                <w:rStyle w:val="InstructionsTabelleText"/>
                <w:rFonts w:ascii="Times New Roman" w:hAnsi="Times New Roman"/>
                <w:sz w:val="24"/>
              </w:rPr>
              <w:t>Articolo 181, lettere e) ed f), del regolamento (UE) n. 575/2013</w:t>
            </w:r>
          </w:p>
          <w:p w14:paraId="163A7BF8"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Valore pertinente utilizzato nella modellizzazione interna dell'ente.</w:t>
            </w:r>
          </w:p>
          <w:p w14:paraId="5CB29B07" w14:textId="77777777" w:rsidR="00FB3D09" w:rsidRPr="002A677E" w:rsidRDefault="00FB3D09" w:rsidP="00822842">
            <w:pPr>
              <w:rPr>
                <w:rFonts w:ascii="Times New Roman" w:hAnsi="Times New Roman"/>
                <w:sz w:val="24"/>
              </w:rPr>
            </w:pPr>
            <w:r>
              <w:rPr>
                <w:rFonts w:ascii="Times New Roman" w:hAnsi="Times New Roman"/>
                <w:sz w:val="24"/>
              </w:rPr>
              <w:t xml:space="preserve">Fattori di attenuazione del rischio di credito conformi ai criteri di cui all'articolo 212 del regolamento (UE) n. 575/2013. </w:t>
            </w:r>
          </w:p>
        </w:tc>
      </w:tr>
      <w:tr w:rsidR="00FB3D09" w:rsidRPr="002A677E" w14:paraId="75F84050" w14:textId="77777777" w:rsidTr="00822842">
        <w:tc>
          <w:tcPr>
            <w:tcW w:w="1188" w:type="dxa"/>
          </w:tcPr>
          <w:p w14:paraId="4DD08A67" w14:textId="77777777" w:rsidR="00FB3D09" w:rsidRPr="002A677E" w:rsidRDefault="00FB3D09" w:rsidP="00822842">
            <w:pPr>
              <w:rPr>
                <w:rFonts w:ascii="Times New Roman" w:hAnsi="Times New Roman"/>
                <w:sz w:val="24"/>
              </w:rPr>
            </w:pPr>
            <w:r>
              <w:rPr>
                <w:rFonts w:ascii="Times New Roman" w:hAnsi="Times New Roman"/>
                <w:sz w:val="24"/>
              </w:rPr>
              <w:t>0171</w:t>
            </w:r>
          </w:p>
        </w:tc>
        <w:tc>
          <w:tcPr>
            <w:tcW w:w="8843" w:type="dxa"/>
          </w:tcPr>
          <w:p w14:paraId="545A819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DEPOSITI IN CONTANTE</w:t>
            </w:r>
          </w:p>
          <w:p w14:paraId="2F2A2E1C" w14:textId="77777777" w:rsidR="00FB3D09" w:rsidRPr="002A677E" w:rsidRDefault="00FB3D09" w:rsidP="00822842">
            <w:pPr>
              <w:rPr>
                <w:rFonts w:ascii="Times New Roman" w:hAnsi="Times New Roman"/>
                <w:sz w:val="24"/>
              </w:rPr>
            </w:pPr>
            <w:r>
              <w:rPr>
                <w:rFonts w:ascii="Times New Roman" w:hAnsi="Times New Roman"/>
                <w:sz w:val="24"/>
              </w:rPr>
              <w:t xml:space="preserve">Articolo 200, lettera a), del regolamento (UE) n. 575/2013 </w:t>
            </w:r>
          </w:p>
          <w:p w14:paraId="0037C11E" w14:textId="77777777" w:rsidR="00FB3D09" w:rsidRPr="002A677E" w:rsidRDefault="00FB3D09" w:rsidP="00822842">
            <w:pPr>
              <w:rPr>
                <w:rFonts w:ascii="Times New Roman" w:hAnsi="Times New Roman"/>
                <w:b/>
                <w:sz w:val="24"/>
                <w:u w:val="single"/>
              </w:rPr>
            </w:pPr>
            <w:r>
              <w:rPr>
                <w:rFonts w:ascii="Times New Roman" w:hAnsi="Times New Roman"/>
                <w:sz w:val="24"/>
              </w:rPr>
              <w:t>I depositi in contante presso un ente terzo o gli strumenti assimilati detenuti da tale ente non nel quadro di un servizio di custodia e costituiti in garanzia a favore dell'ente prestatore. Il valore delle garanzie reali segnalate è limitato al valore dell'esposizione a livello di singola esposizione.</w:t>
            </w:r>
          </w:p>
        </w:tc>
      </w:tr>
      <w:tr w:rsidR="00FB3D09" w:rsidRPr="002A677E" w14:paraId="6605DFE4" w14:textId="77777777" w:rsidTr="00822842">
        <w:tc>
          <w:tcPr>
            <w:tcW w:w="1188" w:type="dxa"/>
          </w:tcPr>
          <w:p w14:paraId="4FC8218B" w14:textId="77777777" w:rsidR="00FB3D09" w:rsidRPr="002A677E" w:rsidRDefault="00FB3D09" w:rsidP="00822842">
            <w:pPr>
              <w:rPr>
                <w:rFonts w:ascii="Times New Roman" w:hAnsi="Times New Roman"/>
                <w:sz w:val="24"/>
              </w:rPr>
            </w:pPr>
            <w:r>
              <w:rPr>
                <w:rFonts w:ascii="Times New Roman" w:hAnsi="Times New Roman"/>
                <w:sz w:val="24"/>
              </w:rPr>
              <w:t>0172</w:t>
            </w:r>
          </w:p>
        </w:tc>
        <w:tc>
          <w:tcPr>
            <w:tcW w:w="8843" w:type="dxa"/>
          </w:tcPr>
          <w:p w14:paraId="4BBBA9B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POLIZZE DI ASSICURAZIONE VITA</w:t>
            </w:r>
          </w:p>
          <w:p w14:paraId="796996C2" w14:textId="77777777" w:rsidR="00FB3D09" w:rsidRPr="002A677E" w:rsidRDefault="00FB3D09" w:rsidP="00822842">
            <w:pPr>
              <w:rPr>
                <w:rFonts w:ascii="Times New Roman" w:hAnsi="Times New Roman"/>
                <w:sz w:val="24"/>
              </w:rPr>
            </w:pPr>
            <w:r>
              <w:rPr>
                <w:rFonts w:ascii="Times New Roman" w:hAnsi="Times New Roman"/>
                <w:sz w:val="24"/>
              </w:rPr>
              <w:t xml:space="preserve">Articolo 200, lettera b), del regolamento (UE) n. 575/2013 </w:t>
            </w:r>
          </w:p>
          <w:p w14:paraId="62C977CD" w14:textId="77777777" w:rsidR="00FB3D09" w:rsidRPr="002A677E" w:rsidRDefault="00FB3D09" w:rsidP="00822842">
            <w:pPr>
              <w:rPr>
                <w:rFonts w:ascii="Times New Roman" w:hAnsi="Times New Roman"/>
                <w:b/>
                <w:sz w:val="24"/>
                <w:u w:val="single"/>
              </w:rPr>
            </w:pPr>
            <w:r>
              <w:rPr>
                <w:rFonts w:ascii="Times New Roman" w:hAnsi="Times New Roman"/>
                <w:sz w:val="24"/>
              </w:rPr>
              <w:t>Il valore delle garanzie reali segnalate è limitato al valore dell'esposizione a livello di singola esposizione.</w:t>
            </w:r>
          </w:p>
        </w:tc>
      </w:tr>
      <w:tr w:rsidR="00FB3D09" w:rsidRPr="002A677E" w14:paraId="12F298DE" w14:textId="77777777" w:rsidTr="00822842">
        <w:tc>
          <w:tcPr>
            <w:tcW w:w="1188" w:type="dxa"/>
          </w:tcPr>
          <w:p w14:paraId="0A6B27AA" w14:textId="77777777" w:rsidR="00FB3D09" w:rsidRPr="002A677E" w:rsidRDefault="00FB3D09" w:rsidP="00822842">
            <w:pPr>
              <w:rPr>
                <w:rFonts w:ascii="Times New Roman" w:hAnsi="Times New Roman"/>
                <w:sz w:val="24"/>
              </w:rPr>
            </w:pPr>
            <w:r>
              <w:rPr>
                <w:rFonts w:ascii="Times New Roman" w:hAnsi="Times New Roman"/>
                <w:sz w:val="24"/>
              </w:rPr>
              <w:t>0173</w:t>
            </w:r>
          </w:p>
        </w:tc>
        <w:tc>
          <w:tcPr>
            <w:tcW w:w="8843" w:type="dxa"/>
          </w:tcPr>
          <w:p w14:paraId="4BDD659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STRUMENTI DETENUTI DA TERZI</w:t>
            </w:r>
          </w:p>
          <w:p w14:paraId="078E7074" w14:textId="77777777" w:rsidR="00FB3D09" w:rsidRPr="002A677E" w:rsidRDefault="00FB3D09" w:rsidP="00822842">
            <w:pPr>
              <w:rPr>
                <w:rFonts w:ascii="Times New Roman" w:hAnsi="Times New Roman"/>
                <w:sz w:val="24"/>
              </w:rPr>
            </w:pPr>
            <w:r>
              <w:rPr>
                <w:rFonts w:ascii="Times New Roman" w:hAnsi="Times New Roman"/>
                <w:sz w:val="24"/>
              </w:rPr>
              <w:t xml:space="preserve">Articolo 200, lettera c), del regolamento (UE) n. 575/2013 </w:t>
            </w:r>
          </w:p>
          <w:p w14:paraId="7E7CC085" w14:textId="77777777" w:rsidR="00FB3D09" w:rsidRPr="002A677E" w:rsidRDefault="00FB3D09" w:rsidP="00822842">
            <w:pPr>
              <w:rPr>
                <w:rFonts w:ascii="Times New Roman" w:hAnsi="Times New Roman"/>
                <w:b/>
                <w:sz w:val="24"/>
                <w:u w:val="single"/>
              </w:rPr>
            </w:pPr>
            <w:r>
              <w:rPr>
                <w:rFonts w:ascii="Times New Roman" w:hAnsi="Times New Roman"/>
                <w:sz w:val="24"/>
              </w:rPr>
              <w:t>Riguarda gli strumenti emessi da enti terzi che saranno riacquistati da tali enti su richiesta. Il valore delle garanzie reali segnalate è limitato al valore dell'esposizione a livello di singola esposizione. In questa colonna sono escluse le esposizioni coperte da strumenti detenuti da terzi quando, conformemente all'articolo 232, paragrafo 4, del regolamento (UE) n. 575/2013, gli enti trattano gli strumenti riacquistati su richiesta che sono ammissibili ai sensi dell'articolo 200, lettera c), di tale regolamento come garanzia dell'ente emittente.</w:t>
            </w:r>
          </w:p>
        </w:tc>
      </w:tr>
      <w:tr w:rsidR="00FB3D09" w:rsidRPr="002A677E" w14:paraId="7F635CD0" w14:textId="77777777" w:rsidTr="00822842">
        <w:tc>
          <w:tcPr>
            <w:tcW w:w="1188" w:type="dxa"/>
          </w:tcPr>
          <w:p w14:paraId="7FDF3B82" w14:textId="77777777" w:rsidR="00FB3D09" w:rsidRPr="002A677E" w:rsidRDefault="00FB3D09" w:rsidP="00822842">
            <w:pPr>
              <w:rPr>
                <w:rFonts w:ascii="Times New Roman" w:hAnsi="Times New Roman"/>
                <w:sz w:val="24"/>
              </w:rPr>
            </w:pPr>
            <w:r>
              <w:rPr>
                <w:rFonts w:ascii="Times New Roman" w:hAnsi="Times New Roman"/>
                <w:sz w:val="24"/>
              </w:rPr>
              <w:t>0180</w:t>
            </w:r>
          </w:p>
        </w:tc>
        <w:tc>
          <w:tcPr>
            <w:tcW w:w="8843" w:type="dxa"/>
          </w:tcPr>
          <w:p w14:paraId="31FAF9A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GARANZIE REALI FINANZIARIE AMMISSIBILI</w:t>
            </w:r>
          </w:p>
          <w:p w14:paraId="0447D589" w14:textId="77777777" w:rsidR="00FB3D09" w:rsidRPr="002A677E" w:rsidRDefault="00FB3D09" w:rsidP="00822842">
            <w:pPr>
              <w:rPr>
                <w:rFonts w:ascii="Times New Roman" w:hAnsi="Times New Roman"/>
                <w:sz w:val="24"/>
              </w:rPr>
            </w:pPr>
            <w:r>
              <w:rPr>
                <w:rFonts w:ascii="Times New Roman" w:hAnsi="Times New Roman"/>
                <w:sz w:val="24"/>
              </w:rPr>
              <w:t>Nel caso delle operazioni interne al portafoglio di negoziazione, sono compresi gli strumenti finanziari e le merci ammissibili come esposizioni nel portafoglio di negoziazione conformemente all'articolo 299, paragrafo 2, lettere da c) a f), del regolamento (UE) n. 575/2013. Conformemente alla parte tre, titolo II, capo 4, sezione 4, del regolamento (UE) n. 575/2013, le credit linked note e la compensazione in bilancio sono trattate come garanzie in contante.</w:t>
            </w:r>
          </w:p>
          <w:p w14:paraId="52D78AC9" w14:textId="77777777" w:rsidR="00FB3D09" w:rsidRPr="002A677E" w:rsidRDefault="00FB3D09" w:rsidP="00822842">
            <w:pPr>
              <w:rPr>
                <w:rFonts w:ascii="Times New Roman" w:hAnsi="Times New Roman"/>
                <w:sz w:val="24"/>
              </w:rPr>
            </w:pPr>
            <w:r>
              <w:rPr>
                <w:rFonts w:ascii="Times New Roman" w:hAnsi="Times New Roman"/>
                <w:sz w:val="24"/>
              </w:rPr>
              <w:t>Se non sono utilizzate stime interne della LGD, per le garanzie reali finanziarie ammissibili ai sensi dell'articolo 197 del regolamento (UE) n. 575/2013 è segnalato il valore corretto (Cvam) di cui all'articolo 223, paragrafo 2, di tale regolamento.</w:t>
            </w:r>
          </w:p>
          <w:p w14:paraId="31F42CB1" w14:textId="77777777" w:rsidR="00FB3D09" w:rsidRPr="002A677E" w:rsidRDefault="00FB3D09" w:rsidP="00822842">
            <w:pPr>
              <w:rPr>
                <w:rFonts w:ascii="Times New Roman" w:hAnsi="Times New Roman"/>
                <w:b/>
                <w:sz w:val="24"/>
                <w:u w:val="single"/>
              </w:rPr>
            </w:pPr>
            <w:r>
              <w:rPr>
                <w:rFonts w:ascii="Times New Roman" w:hAnsi="Times New Roman"/>
                <w:sz w:val="24"/>
              </w:rPr>
              <w:t>Se sono utilizzate stime interne della LGD, le garanzie reali finanziarie sono prese in considerazione nelle stime della LGD conformemente all'articolo 181, paragrafo 1, lettere e) ed f), del regolamento (UE) n. 575/2013. L'importo da segnalare è la stima del valore di mercato della garanzia.</w:t>
            </w:r>
          </w:p>
        </w:tc>
      </w:tr>
      <w:tr w:rsidR="00FB3D09" w:rsidRPr="002A677E" w14:paraId="175F5CB2" w14:textId="77777777" w:rsidTr="00822842">
        <w:tc>
          <w:tcPr>
            <w:tcW w:w="1188" w:type="dxa"/>
          </w:tcPr>
          <w:p w14:paraId="21EC8197" w14:textId="77777777" w:rsidR="00FB3D09" w:rsidRPr="002A677E" w:rsidDel="001D4BE0" w:rsidRDefault="00FB3D09" w:rsidP="00822842">
            <w:pPr>
              <w:rPr>
                <w:rFonts w:ascii="Times New Roman" w:hAnsi="Times New Roman"/>
                <w:sz w:val="24"/>
              </w:rPr>
            </w:pPr>
            <w:r>
              <w:rPr>
                <w:rFonts w:ascii="Times New Roman" w:hAnsi="Times New Roman"/>
                <w:sz w:val="24"/>
              </w:rPr>
              <w:lastRenderedPageBreak/>
              <w:t>0190-0210</w:t>
            </w:r>
          </w:p>
        </w:tc>
        <w:tc>
          <w:tcPr>
            <w:tcW w:w="8843" w:type="dxa"/>
          </w:tcPr>
          <w:p w14:paraId="0934323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ALTRE GARANZIE REALI AMMISSIBILI</w:t>
            </w:r>
          </w:p>
          <w:p w14:paraId="3277DA00" w14:textId="77777777" w:rsidR="00FB3D09" w:rsidRPr="002A677E" w:rsidRDefault="00FB3D09" w:rsidP="00822842">
            <w:pPr>
              <w:rPr>
                <w:rFonts w:ascii="Times New Roman" w:hAnsi="Times New Roman"/>
                <w:sz w:val="24"/>
              </w:rPr>
            </w:pPr>
            <w:r>
              <w:rPr>
                <w:rFonts w:ascii="Times New Roman" w:hAnsi="Times New Roman"/>
                <w:sz w:val="24"/>
              </w:rPr>
              <w:t>Se non sono utilizzate stime interne della LGD, i valori sono determinati conformemente all'articolo 199, paragrafi da 1 a 8, e all'articolo 229 del regolamento (UE) n. 575/2013.</w:t>
            </w:r>
          </w:p>
          <w:p w14:paraId="3AF3004D" w14:textId="187FBFF5" w:rsidR="00FB3D09" w:rsidRPr="002A677E" w:rsidRDefault="00FB3D09" w:rsidP="00822842">
            <w:pPr>
              <w:rPr>
                <w:rFonts w:ascii="Times New Roman" w:hAnsi="Times New Roman"/>
                <w:b/>
                <w:sz w:val="24"/>
                <w:u w:val="single"/>
              </w:rPr>
            </w:pPr>
            <w:r>
              <w:rPr>
                <w:rFonts w:ascii="Times New Roman" w:hAnsi="Times New Roman"/>
                <w:sz w:val="24"/>
              </w:rPr>
              <w:t>Se sono utilizzate stime interne della LGD, le altre garanzie reali sono prese in considerazione nelle stime della LGD conformemente all'articolo 181, paragrafo 1, lettere</w:t>
            </w:r>
            <w:r w:rsidR="00181F07">
              <w:rPr>
                <w:rFonts w:ascii="Times New Roman" w:hAnsi="Times New Roman"/>
                <w:sz w:val="24"/>
              </w:rPr>
              <w:t> </w:t>
            </w:r>
            <w:r>
              <w:rPr>
                <w:rFonts w:ascii="Times New Roman" w:hAnsi="Times New Roman"/>
                <w:sz w:val="24"/>
              </w:rPr>
              <w:t>e) ed f), del regolamento (UE) n. 575/2013.</w:t>
            </w:r>
          </w:p>
        </w:tc>
      </w:tr>
      <w:tr w:rsidR="00FB3D09" w:rsidRPr="002A677E" w14:paraId="57654874" w14:textId="77777777" w:rsidTr="00822842">
        <w:tc>
          <w:tcPr>
            <w:tcW w:w="1188" w:type="dxa"/>
          </w:tcPr>
          <w:p w14:paraId="4073E085" w14:textId="77777777" w:rsidR="00FB3D09" w:rsidRPr="002A677E" w:rsidRDefault="00FB3D09" w:rsidP="00822842">
            <w:pPr>
              <w:spacing w:line="240" w:lineRule="exact"/>
              <w:rPr>
                <w:rFonts w:ascii="Times New Roman" w:hAnsi="Times New Roman"/>
                <w:sz w:val="24"/>
              </w:rPr>
            </w:pPr>
            <w:r>
              <w:rPr>
                <w:rFonts w:ascii="Times New Roman" w:hAnsi="Times New Roman"/>
                <w:sz w:val="24"/>
              </w:rPr>
              <w:t>0190</w:t>
            </w:r>
          </w:p>
        </w:tc>
        <w:tc>
          <w:tcPr>
            <w:tcW w:w="8843" w:type="dxa"/>
          </w:tcPr>
          <w:p w14:paraId="38792F93" w14:textId="77777777" w:rsidR="00FB3D09" w:rsidRPr="002A677E" w:rsidRDefault="00FB3D09" w:rsidP="00822842">
            <w:pPr>
              <w:spacing w:line="240" w:lineRule="exact"/>
              <w:rPr>
                <w:rFonts w:ascii="Times New Roman" w:hAnsi="Times New Roman"/>
                <w:sz w:val="24"/>
              </w:rPr>
            </w:pPr>
            <w:r>
              <w:rPr>
                <w:rFonts w:ascii="Times New Roman" w:hAnsi="Times New Roman"/>
                <w:b/>
                <w:sz w:val="24"/>
                <w:u w:val="single"/>
              </w:rPr>
              <w:t>IMMOBILI</w:t>
            </w:r>
          </w:p>
          <w:p w14:paraId="1C22EB67" w14:textId="7B65D474" w:rsidR="00FB3D09" w:rsidRPr="002A677E" w:rsidRDefault="00FB3D09" w:rsidP="00181F07">
            <w:pPr>
              <w:rPr>
                <w:rFonts w:ascii="Times New Roman" w:hAnsi="Times New Roman"/>
                <w:sz w:val="24"/>
              </w:rPr>
            </w:pPr>
            <w:r>
              <w:rPr>
                <w:rFonts w:ascii="Times New Roman" w:hAnsi="Times New Roman"/>
                <w:sz w:val="24"/>
              </w:rPr>
              <w:t>Se non sono utilizzate stime interne della LGD, i valori sono determinati conformemente all'articolo 199, paragrafi da 2 a 4 bis, del regolamento (UE) n. 575/2013 e sono segnalati in questa colonna. Sono compresi anche gli immobili dati in leasing (cfr. l'articolo 199, paragrafo 7, del regolamento (UE) n. 575/2013). Cfr. anche articolo 229 del regolamento (UE) n. 575/2013.</w:t>
            </w:r>
          </w:p>
          <w:p w14:paraId="02AD8F76" w14:textId="77777777" w:rsidR="00FB3D09" w:rsidRPr="002A677E" w:rsidRDefault="00FB3D09" w:rsidP="00181F07">
            <w:pPr>
              <w:rPr>
                <w:rFonts w:ascii="Times New Roman" w:hAnsi="Times New Roman"/>
                <w:sz w:val="24"/>
              </w:rPr>
            </w:pPr>
            <w:r>
              <w:rPr>
                <w:rFonts w:ascii="Times New Roman" w:hAnsi="Times New Roman"/>
                <w:sz w:val="24"/>
              </w:rPr>
              <w:t>Se sono utilizzate stime interne della LGD, l'importo da segnalare è la stima del valore di mercato.</w:t>
            </w:r>
          </w:p>
        </w:tc>
      </w:tr>
      <w:tr w:rsidR="00FB3D09" w:rsidRPr="002A677E" w14:paraId="5A77D1F7" w14:textId="77777777" w:rsidTr="00822842">
        <w:tc>
          <w:tcPr>
            <w:tcW w:w="1188" w:type="dxa"/>
          </w:tcPr>
          <w:p w14:paraId="639978E3" w14:textId="77777777" w:rsidR="00FB3D09" w:rsidRPr="002A677E" w:rsidRDefault="00FB3D09" w:rsidP="00822842">
            <w:pPr>
              <w:rPr>
                <w:rFonts w:ascii="Times New Roman" w:hAnsi="Times New Roman"/>
                <w:sz w:val="24"/>
              </w:rPr>
            </w:pPr>
            <w:r>
              <w:rPr>
                <w:rFonts w:ascii="Times New Roman" w:hAnsi="Times New Roman"/>
                <w:sz w:val="24"/>
              </w:rPr>
              <w:t>0200</w:t>
            </w:r>
          </w:p>
        </w:tc>
        <w:tc>
          <w:tcPr>
            <w:tcW w:w="8843" w:type="dxa"/>
          </w:tcPr>
          <w:p w14:paraId="11BF78C8"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ALTRE GARANZIE REALI MATERIALI</w:t>
            </w:r>
          </w:p>
          <w:p w14:paraId="79893BBD" w14:textId="19A18442" w:rsidR="00FB3D09" w:rsidRPr="002A677E" w:rsidRDefault="00FB3D09" w:rsidP="00822842">
            <w:pPr>
              <w:rPr>
                <w:rFonts w:ascii="Times New Roman" w:hAnsi="Times New Roman"/>
                <w:sz w:val="24"/>
              </w:rPr>
            </w:pPr>
            <w:r>
              <w:rPr>
                <w:rFonts w:ascii="Times New Roman" w:hAnsi="Times New Roman"/>
                <w:sz w:val="24"/>
              </w:rPr>
              <w:t>Se non sono utilizzate stime interne della LGD, i valori sono determinati conformemente all'articolo 199, paragrafi 6 e 8, del regolamento (UE) n. 575/2013 e sono segnalati in questa colonna. Sono compresi anche i beni dati in leasing diversi dagli immobili (cfr.</w:t>
            </w:r>
            <w:r w:rsidR="00181F07">
              <w:rPr>
                <w:rFonts w:ascii="Times New Roman" w:hAnsi="Times New Roman"/>
                <w:sz w:val="24"/>
              </w:rPr>
              <w:t> </w:t>
            </w:r>
            <w:r>
              <w:rPr>
                <w:rFonts w:ascii="Times New Roman" w:hAnsi="Times New Roman"/>
                <w:sz w:val="24"/>
              </w:rPr>
              <w:t>l'articolo 199, paragrafo 7, del regolamento (UE) n. 575/2013). Cfr. anche l'articolo</w:t>
            </w:r>
            <w:r w:rsidR="00181F07">
              <w:rPr>
                <w:rFonts w:ascii="Times New Roman" w:hAnsi="Times New Roman"/>
                <w:sz w:val="24"/>
              </w:rPr>
              <w:t> </w:t>
            </w:r>
            <w:r>
              <w:rPr>
                <w:rFonts w:ascii="Times New Roman" w:hAnsi="Times New Roman"/>
                <w:sz w:val="24"/>
              </w:rPr>
              <w:t xml:space="preserve">229, paragrafo 3, del regolamento (UE) n. 575/2013. </w:t>
            </w:r>
          </w:p>
          <w:p w14:paraId="20C5AC83" w14:textId="77777777" w:rsidR="00FB3D09" w:rsidRPr="002A677E" w:rsidRDefault="00FB3D09" w:rsidP="00822842">
            <w:pPr>
              <w:rPr>
                <w:rFonts w:ascii="Times New Roman" w:hAnsi="Times New Roman"/>
                <w:b/>
                <w:sz w:val="24"/>
                <w:u w:val="single"/>
              </w:rPr>
            </w:pPr>
            <w:r>
              <w:rPr>
                <w:rFonts w:ascii="Times New Roman" w:hAnsi="Times New Roman"/>
                <w:sz w:val="24"/>
              </w:rPr>
              <w:t>Se sono utilizzate stime interne della LGD, l'importo da segnalare è la stima del valore di mercato della garanzia reale.</w:t>
            </w:r>
          </w:p>
        </w:tc>
      </w:tr>
      <w:tr w:rsidR="00FB3D09" w:rsidRPr="002A677E" w14:paraId="6B2A20B1" w14:textId="77777777" w:rsidTr="00822842">
        <w:tc>
          <w:tcPr>
            <w:tcW w:w="1188" w:type="dxa"/>
          </w:tcPr>
          <w:p w14:paraId="41BEC94C" w14:textId="77777777" w:rsidR="00FB3D09" w:rsidRPr="002A677E" w:rsidRDefault="00FB3D09" w:rsidP="00822842">
            <w:pPr>
              <w:rPr>
                <w:rFonts w:ascii="Times New Roman" w:hAnsi="Times New Roman"/>
                <w:sz w:val="24"/>
              </w:rPr>
            </w:pPr>
            <w:r>
              <w:rPr>
                <w:rFonts w:ascii="Times New Roman" w:hAnsi="Times New Roman"/>
                <w:sz w:val="24"/>
              </w:rPr>
              <w:t>0210</w:t>
            </w:r>
          </w:p>
        </w:tc>
        <w:tc>
          <w:tcPr>
            <w:tcW w:w="8843" w:type="dxa"/>
          </w:tcPr>
          <w:p w14:paraId="4F3D36E9"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CREDITI COMMERCIALI</w:t>
            </w:r>
          </w:p>
          <w:p w14:paraId="7A705B5D" w14:textId="2801874E" w:rsidR="00FB3D09" w:rsidRPr="002A677E" w:rsidRDefault="00FB3D09" w:rsidP="00822842">
            <w:pPr>
              <w:rPr>
                <w:rFonts w:ascii="Times New Roman" w:hAnsi="Times New Roman"/>
                <w:sz w:val="24"/>
              </w:rPr>
            </w:pPr>
            <w:r>
              <w:rPr>
                <w:rFonts w:ascii="Times New Roman" w:hAnsi="Times New Roman"/>
                <w:sz w:val="24"/>
              </w:rPr>
              <w:t>Se non sono utilizzate stime interne della LGD, i valori sono determinati conformemente all'articolo 199, paragrafo 5, e all'articolo 229, paragrafo 2, del regolamento (UE) n.</w:t>
            </w:r>
            <w:r w:rsidR="00181F07">
              <w:rPr>
                <w:rFonts w:ascii="Times New Roman" w:hAnsi="Times New Roman"/>
                <w:sz w:val="24"/>
              </w:rPr>
              <w:t> </w:t>
            </w:r>
            <w:r>
              <w:rPr>
                <w:rFonts w:ascii="Times New Roman" w:hAnsi="Times New Roman"/>
                <w:sz w:val="24"/>
              </w:rPr>
              <w:t>575/2013 e sono segnalati in questa colonna.</w:t>
            </w:r>
          </w:p>
          <w:p w14:paraId="436DED01" w14:textId="77777777" w:rsidR="00FB3D09" w:rsidRPr="002A677E" w:rsidRDefault="00FB3D09" w:rsidP="00822842">
            <w:pPr>
              <w:rPr>
                <w:rFonts w:ascii="Times New Roman" w:hAnsi="Times New Roman"/>
                <w:b/>
                <w:sz w:val="24"/>
                <w:u w:val="single"/>
              </w:rPr>
            </w:pPr>
            <w:r>
              <w:rPr>
                <w:rFonts w:ascii="Times New Roman" w:hAnsi="Times New Roman"/>
                <w:sz w:val="24"/>
              </w:rPr>
              <w:t>Se sono utilizzate stime interne della LGD, l'importo da segnalare è la stima del valore di mercato della garanzia reale.</w:t>
            </w:r>
          </w:p>
        </w:tc>
      </w:tr>
      <w:tr w:rsidR="00FB3D09" w:rsidRPr="002A677E" w14:paraId="60E8AC07" w14:textId="77777777" w:rsidTr="00822842">
        <w:tc>
          <w:tcPr>
            <w:tcW w:w="1188" w:type="dxa"/>
          </w:tcPr>
          <w:p w14:paraId="5D57504A" w14:textId="77777777" w:rsidR="00FB3D09" w:rsidRPr="002A677E" w:rsidRDefault="00FB3D09" w:rsidP="00822842">
            <w:pPr>
              <w:rPr>
                <w:rFonts w:ascii="Times New Roman" w:hAnsi="Times New Roman"/>
                <w:sz w:val="24"/>
              </w:rPr>
            </w:pPr>
            <w:r>
              <w:rPr>
                <w:rFonts w:ascii="Times New Roman" w:hAnsi="Times New Roman"/>
                <w:sz w:val="24"/>
              </w:rPr>
              <w:t>0230</w:t>
            </w:r>
          </w:p>
        </w:tc>
        <w:tc>
          <w:tcPr>
            <w:tcW w:w="8843" w:type="dxa"/>
          </w:tcPr>
          <w:p w14:paraId="79AFFD3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LGD MEDIA PONDERATA PER L'ESPOSIZIONE (%)</w:t>
            </w:r>
          </w:p>
          <w:p w14:paraId="6F9170F4" w14:textId="5D916447" w:rsidR="00FB3D09" w:rsidRPr="002A677E" w:rsidRDefault="00FB3D09" w:rsidP="00822842">
            <w:pPr>
              <w:rPr>
                <w:rFonts w:ascii="Times New Roman" w:hAnsi="Times New Roman"/>
                <w:sz w:val="24"/>
              </w:rPr>
            </w:pPr>
            <w:r>
              <w:rPr>
                <w:rFonts w:ascii="Times New Roman" w:hAnsi="Times New Roman"/>
                <w:sz w:val="24"/>
              </w:rPr>
              <w:t xml:space="preserve">Sono presi in considerazione tutti gli impatti delle tecniche di attenuazione del rischio di credito sui valori della LGD specificati nella parte tre, titolo II, capi 3 e 4, del regolamento (UE) n. 575/2013. </w:t>
            </w:r>
          </w:p>
          <w:p w14:paraId="39A74258" w14:textId="77777777" w:rsidR="00FB3D09" w:rsidRPr="002A677E" w:rsidRDefault="00FB3D09" w:rsidP="00822842">
            <w:pPr>
              <w:rPr>
                <w:rFonts w:ascii="Times New Roman" w:hAnsi="Times New Roman"/>
                <w:sz w:val="24"/>
              </w:rPr>
            </w:pPr>
            <w:r>
              <w:rPr>
                <w:rFonts w:ascii="Times New Roman" w:hAnsi="Times New Roman"/>
                <w:sz w:val="24"/>
              </w:rPr>
              <w:t>Per le esposizioni in stato di default si tiene conto dell’articolo 181, paragrafo 1, lettera h), del regolamento (UE) n. 575/2013.</w:t>
            </w:r>
          </w:p>
          <w:p w14:paraId="60A8EDA1" w14:textId="77777777" w:rsidR="00FB3D09" w:rsidRPr="002A677E" w:rsidRDefault="00FB3D09" w:rsidP="00822842">
            <w:pPr>
              <w:rPr>
                <w:rFonts w:ascii="Times New Roman" w:hAnsi="Times New Roman"/>
                <w:sz w:val="24"/>
              </w:rPr>
            </w:pPr>
            <w:r>
              <w:rPr>
                <w:rFonts w:ascii="Times New Roman" w:hAnsi="Times New Roman"/>
                <w:sz w:val="24"/>
              </w:rPr>
              <w:t>Per il calcolo delle medie ponderate per l'esposizione è utilizzato il valore dell'esposizione di cui alla colonna 0110.</w:t>
            </w:r>
          </w:p>
          <w:p w14:paraId="4BB11427" w14:textId="77777777" w:rsidR="00FB3D09" w:rsidRPr="002A677E" w:rsidRDefault="00FB3D09" w:rsidP="00822842">
            <w:pPr>
              <w:rPr>
                <w:rFonts w:ascii="Times New Roman" w:hAnsi="Times New Roman"/>
                <w:sz w:val="24"/>
              </w:rPr>
            </w:pPr>
            <w:r>
              <w:rPr>
                <w:rFonts w:ascii="Times New Roman" w:hAnsi="Times New Roman"/>
                <w:sz w:val="24"/>
              </w:rPr>
              <w:t>Sono presi in considerazione tutti gli effetti (pertanto sono inclusi nella segnalazione gli effetti della soglia minima applicabile alle esposizioni garantite da immobili a norma dell'articolo 164, paragrafo 4, del regolamento (UE) n. 575/2013).</w:t>
            </w:r>
          </w:p>
          <w:p w14:paraId="635EEDC3" w14:textId="138E0BA4" w:rsidR="00FB3D09" w:rsidRPr="002A677E" w:rsidRDefault="00FB3D09" w:rsidP="00822842">
            <w:pPr>
              <w:rPr>
                <w:rFonts w:ascii="Times New Roman" w:hAnsi="Times New Roman"/>
                <w:sz w:val="24"/>
              </w:rPr>
            </w:pPr>
            <w:r>
              <w:rPr>
                <w:rFonts w:ascii="Times New Roman" w:hAnsi="Times New Roman"/>
                <w:sz w:val="24"/>
              </w:rPr>
              <w:t xml:space="preserve">Per gli enti che applicano il metodo IRB ma non utilizzano stime interne della LGD, gli effetti di attenuazione del rischio delle garanzie reali finanziarie sono considerati in E*, il </w:t>
            </w:r>
            <w:r>
              <w:rPr>
                <w:rFonts w:ascii="Times New Roman" w:hAnsi="Times New Roman"/>
                <w:sz w:val="24"/>
              </w:rPr>
              <w:lastRenderedPageBreak/>
              <w:t>valore corretto integralmente dell'esposizione, e poi ripresi nella LGD* di cui all'articolo</w:t>
            </w:r>
            <w:r w:rsidR="00181F07">
              <w:t> </w:t>
            </w:r>
            <w:r>
              <w:rPr>
                <w:rFonts w:ascii="Times New Roman" w:hAnsi="Times New Roman"/>
                <w:sz w:val="24"/>
              </w:rPr>
              <w:t>230, del regolamento (UE) n. 575/2013.</w:t>
            </w:r>
          </w:p>
          <w:p w14:paraId="4BD44AA0" w14:textId="77777777" w:rsidR="00FB3D09" w:rsidRPr="002A677E" w:rsidRDefault="00FB3D09" w:rsidP="00822842">
            <w:pPr>
              <w:rPr>
                <w:rFonts w:ascii="Times New Roman" w:hAnsi="Times New Roman"/>
                <w:sz w:val="24"/>
              </w:rPr>
            </w:pPr>
            <w:r>
              <w:rPr>
                <w:rFonts w:ascii="Times New Roman" w:hAnsi="Times New Roman"/>
                <w:sz w:val="24"/>
              </w:rPr>
              <w:t>La LGD media ponderata per l'esposizione associata a ciascuna "classe o pool di debitori" che presenta una PD deriva dalla media delle LGD prudenziali assegnate alle esposizioni relative alla classe/al pool con la PD in questione, ponderate per il rispettivo valore dell'esposizione di cui alla colonna 0110.</w:t>
            </w:r>
          </w:p>
          <w:p w14:paraId="2A3FAE79" w14:textId="6DE33797" w:rsidR="00FB3D09" w:rsidRPr="002A677E" w:rsidRDefault="00FB3D09" w:rsidP="00822842">
            <w:pPr>
              <w:rPr>
                <w:rFonts w:ascii="Times New Roman" w:hAnsi="Times New Roman"/>
                <w:sz w:val="24"/>
              </w:rPr>
            </w:pPr>
            <w:r>
              <w:rPr>
                <w:rFonts w:ascii="Times New Roman" w:hAnsi="Times New Roman"/>
                <w:sz w:val="24"/>
              </w:rPr>
              <w:t>Se sono applicate stime interne della LGD, si tiene conto dell’articolo 175 e dell’articolo</w:t>
            </w:r>
            <w:r w:rsidR="00181F07">
              <w:rPr>
                <w:rFonts w:ascii="Times New Roman" w:hAnsi="Times New Roman"/>
                <w:sz w:val="24"/>
              </w:rPr>
              <w:t> </w:t>
            </w:r>
            <w:r>
              <w:rPr>
                <w:rFonts w:ascii="Times New Roman" w:hAnsi="Times New Roman"/>
                <w:sz w:val="24"/>
              </w:rPr>
              <w:t>181, paragrafi 1 e 2, del regolamento (UE) n. 575/2013.</w:t>
            </w:r>
          </w:p>
          <w:p w14:paraId="0DF969BF" w14:textId="77777777" w:rsidR="00FB3D09" w:rsidRPr="002A677E" w:rsidRDefault="00FB3D09" w:rsidP="00822842">
            <w:pPr>
              <w:rPr>
                <w:rFonts w:ascii="Times New Roman" w:hAnsi="Times New Roman"/>
                <w:sz w:val="24"/>
              </w:rPr>
            </w:pPr>
            <w:r>
              <w:rPr>
                <w:rFonts w:ascii="Times New Roman" w:hAnsi="Times New Roman"/>
                <w:sz w:val="24"/>
              </w:rPr>
              <w:t>Il calcolo della LGD media ponderata per l'esposizione deriva dai parametri di rischio effettivamente utilizzati nella scala di rating interni approvata dalla rispettiva autorità competente.</w:t>
            </w:r>
          </w:p>
          <w:p w14:paraId="345A6D26" w14:textId="51075BD9" w:rsidR="00FB3D09" w:rsidRPr="002A677E" w:rsidRDefault="00FB3D09" w:rsidP="00822842">
            <w:pPr>
              <w:rPr>
                <w:rFonts w:ascii="Times New Roman" w:hAnsi="Times New Roman"/>
                <w:sz w:val="24"/>
              </w:rPr>
            </w:pPr>
            <w:r>
              <w:rPr>
                <w:rFonts w:ascii="Times New Roman" w:hAnsi="Times New Roman"/>
                <w:sz w:val="24"/>
              </w:rPr>
              <w:t>Non sono segnalati dati sulle esposizioni da finanziamenti specializzati di cui all'articolo</w:t>
            </w:r>
            <w:r w:rsidR="00181F07">
              <w:rPr>
                <w:rFonts w:ascii="Times New Roman" w:hAnsi="Times New Roman"/>
                <w:sz w:val="24"/>
              </w:rPr>
              <w:t> </w:t>
            </w:r>
            <w:r>
              <w:rPr>
                <w:rFonts w:ascii="Times New Roman" w:hAnsi="Times New Roman"/>
                <w:sz w:val="24"/>
              </w:rPr>
              <w:t>153, paragrafo 5, del regolamento (UE) n. 575/2013. Se la PD è stimata per le esposizioni da finanziamenti specializzati, i dati sono segnalati sulla base di stime interne delle LGD o delle LGD regolamentari.</w:t>
            </w:r>
          </w:p>
          <w:p w14:paraId="0C1A1D74" w14:textId="77777777" w:rsidR="00FB3D09" w:rsidRPr="002A677E" w:rsidRDefault="00FB3D09" w:rsidP="00822842">
            <w:pPr>
              <w:rPr>
                <w:rFonts w:ascii="Times New Roman" w:hAnsi="Times New Roman"/>
                <w:sz w:val="24"/>
              </w:rPr>
            </w:pPr>
            <w:r>
              <w:rPr>
                <w:rFonts w:ascii="Times New Roman" w:hAnsi="Times New Roman"/>
                <w:sz w:val="24"/>
              </w:rPr>
              <w:t xml:space="preserve">Le esposizioni e le rispettive LGD dei soggetti regolamentati di grandi dimensioni del settore finanziario e dei soggetti finanziari non regolamentati non sono incluse nel calcolo della colonna 0230, bensì soltanto nel calcolo della colonna 0240. </w:t>
            </w:r>
          </w:p>
        </w:tc>
      </w:tr>
      <w:tr w:rsidR="00FB3D09" w:rsidRPr="002A677E" w14:paraId="6B45F6BD" w14:textId="77777777" w:rsidTr="00822842">
        <w:tc>
          <w:tcPr>
            <w:tcW w:w="1188" w:type="dxa"/>
          </w:tcPr>
          <w:p w14:paraId="591C6DEB" w14:textId="77777777" w:rsidR="00FB3D09" w:rsidRPr="002A677E" w:rsidRDefault="00FB3D09" w:rsidP="00822842">
            <w:pPr>
              <w:rPr>
                <w:rFonts w:ascii="Times New Roman" w:hAnsi="Times New Roman"/>
                <w:sz w:val="24"/>
              </w:rPr>
            </w:pPr>
            <w:r>
              <w:rPr>
                <w:rFonts w:ascii="Times New Roman" w:hAnsi="Times New Roman"/>
                <w:sz w:val="24"/>
              </w:rPr>
              <w:lastRenderedPageBreak/>
              <w:t>0240</w:t>
            </w:r>
          </w:p>
        </w:tc>
        <w:tc>
          <w:tcPr>
            <w:tcW w:w="8843" w:type="dxa"/>
          </w:tcPr>
          <w:p w14:paraId="32B1C75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LGD MEDIA PONDERATA PER L'ESPOSIZIONE (%) DI SOGGETTI DI GRANDI DIMENSIONI DEL SETTORE FINANZIARIO E SOGGETTI FINANZIARI NON REGOLAMENTATI</w:t>
            </w:r>
          </w:p>
          <w:p w14:paraId="6939D8FB" w14:textId="77777777" w:rsidR="00FB3D09" w:rsidRPr="002A677E" w:rsidRDefault="00FB3D09" w:rsidP="00822842">
            <w:pPr>
              <w:rPr>
                <w:rFonts w:ascii="Times New Roman" w:hAnsi="Times New Roman"/>
                <w:sz w:val="24"/>
              </w:rPr>
            </w:pPr>
            <w:r>
              <w:rPr>
                <w:rFonts w:ascii="Times New Roman" w:hAnsi="Times New Roman"/>
                <w:sz w:val="24"/>
              </w:rPr>
              <w:t>LGD media ponderata per l'esposizione (%) per tutte le esposizioni verso soggetti di grandi dimensioni del settore finanziario ai sensi dell'articolo 142, paragrafo 1, punto 4, del regolamento (UE) n. 575/2013 e verso soggetti del settore finanziario non regolamentati ai sensi dell'articolo 142, paragrafo 1, punto 5, del regolamento (UE) n. 575/2013, cui si applica il coefficiente di correlazione più elevato determinato conformemente all'articolo 153, paragrafo 2, di tale regolamento.</w:t>
            </w:r>
          </w:p>
        </w:tc>
      </w:tr>
      <w:tr w:rsidR="00FB3D09" w:rsidRPr="002A677E" w14:paraId="176E6206" w14:textId="77777777" w:rsidTr="00822842">
        <w:tc>
          <w:tcPr>
            <w:tcW w:w="1188" w:type="dxa"/>
          </w:tcPr>
          <w:p w14:paraId="76179D87" w14:textId="77777777" w:rsidR="00FB3D09" w:rsidRPr="002A677E" w:rsidRDefault="00FB3D09" w:rsidP="00822842">
            <w:pPr>
              <w:rPr>
                <w:rFonts w:ascii="Times New Roman" w:hAnsi="Times New Roman"/>
                <w:sz w:val="24"/>
              </w:rPr>
            </w:pPr>
            <w:r>
              <w:rPr>
                <w:rFonts w:ascii="Times New Roman" w:hAnsi="Times New Roman"/>
                <w:sz w:val="24"/>
              </w:rPr>
              <w:t>0250</w:t>
            </w:r>
          </w:p>
        </w:tc>
        <w:tc>
          <w:tcPr>
            <w:tcW w:w="8843" w:type="dxa"/>
          </w:tcPr>
          <w:p w14:paraId="0303416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VALORE DELLA DURATA MEDIA PONDERATA PER L'ESPOSIZIONE (GIORNI)</w:t>
            </w:r>
          </w:p>
          <w:p w14:paraId="2EF0BB8D" w14:textId="298545E8" w:rsidR="00FB3D09" w:rsidRPr="002A677E" w:rsidRDefault="00FB3D09" w:rsidP="00822842">
            <w:pPr>
              <w:rPr>
                <w:rFonts w:ascii="Times New Roman" w:hAnsi="Times New Roman"/>
                <w:sz w:val="24"/>
              </w:rPr>
            </w:pPr>
            <w:r>
              <w:rPr>
                <w:rFonts w:ascii="Times New Roman" w:hAnsi="Times New Roman"/>
                <w:sz w:val="24"/>
              </w:rPr>
              <w:t>Il valore segnalato è determinato conformemente all’articolo 162 del regolamento (UE) n.</w:t>
            </w:r>
            <w:r w:rsidR="00181F07">
              <w:rPr>
                <w:rFonts w:ascii="Times New Roman" w:hAnsi="Times New Roman"/>
                <w:sz w:val="24"/>
              </w:rPr>
              <w:t> </w:t>
            </w:r>
            <w:r>
              <w:rPr>
                <w:rFonts w:ascii="Times New Roman" w:hAnsi="Times New Roman"/>
                <w:sz w:val="24"/>
              </w:rPr>
              <w:t>575/2013. Per il calcolo delle medie ponderate per l'esposizione è utilizzato il valore dell'esposizione (colonna 0110). La durata media è espressa in giorni.</w:t>
            </w:r>
          </w:p>
          <w:p w14:paraId="6457CD5D" w14:textId="77777777" w:rsidR="00FB3D09" w:rsidRPr="002A677E" w:rsidRDefault="00FB3D09" w:rsidP="00822842">
            <w:pPr>
              <w:rPr>
                <w:rFonts w:ascii="Times New Roman" w:hAnsi="Times New Roman"/>
                <w:sz w:val="24"/>
              </w:rPr>
            </w:pPr>
            <w:r>
              <w:rPr>
                <w:rFonts w:ascii="Times New Roman" w:hAnsi="Times New Roman"/>
                <w:sz w:val="24"/>
              </w:rPr>
              <w:t xml:space="preserve">Questi dati non sono segnalati per i valori delle esposizioni la cui durata non è un elemento compreso nel calcolo degli </w:t>
            </w:r>
            <w:r>
              <w:rPr>
                <w:rStyle w:val="InstructionsTabelleText"/>
                <w:rFonts w:ascii="Times New Roman" w:hAnsi="Times New Roman"/>
                <w:sz w:val="24"/>
              </w:rPr>
              <w:t>importi delle esposizioni ponderati per il rischio</w:t>
            </w:r>
            <w:r>
              <w:rPr>
                <w:rFonts w:ascii="Times New Roman" w:hAnsi="Times New Roman"/>
                <w:sz w:val="24"/>
              </w:rPr>
              <w:t>. Ne consegue che questa colonna non è compilata in riferimento alla classe di esposizioni "al dettaglio".</w:t>
            </w:r>
          </w:p>
        </w:tc>
      </w:tr>
      <w:tr w:rsidR="00FB3D09" w:rsidRPr="002A677E" w14:paraId="713A30E1" w14:textId="77777777" w:rsidTr="00822842">
        <w:tc>
          <w:tcPr>
            <w:tcW w:w="1188" w:type="dxa"/>
          </w:tcPr>
          <w:p w14:paraId="00B32F9D" w14:textId="77777777" w:rsidR="00FB3D09" w:rsidRPr="002A677E" w:rsidRDefault="00FB3D09" w:rsidP="00822842">
            <w:pPr>
              <w:rPr>
                <w:rFonts w:ascii="Times New Roman" w:hAnsi="Times New Roman"/>
                <w:sz w:val="24"/>
              </w:rPr>
            </w:pPr>
            <w:r>
              <w:rPr>
                <w:rFonts w:ascii="Times New Roman" w:hAnsi="Times New Roman"/>
                <w:sz w:val="24"/>
              </w:rPr>
              <w:t>0255</w:t>
            </w:r>
          </w:p>
        </w:tc>
        <w:tc>
          <w:tcPr>
            <w:tcW w:w="8843" w:type="dxa"/>
          </w:tcPr>
          <w:p w14:paraId="75364CA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IMPORTO DELL'ESPOSIZIONE PONDERATO PER IL RISCHIO PRIMA DELL'APPLICAZIONE DEI FATTORI DI SOSTEGNO</w:t>
            </w:r>
          </w:p>
          <w:p w14:paraId="3F28CDB0" w14:textId="223669F9" w:rsidR="00FB3D09" w:rsidRPr="002A677E" w:rsidRDefault="00FB3D09" w:rsidP="00822842">
            <w:pPr>
              <w:rPr>
                <w:rFonts w:ascii="Times New Roman" w:hAnsi="Times New Roman"/>
                <w:sz w:val="24"/>
              </w:rPr>
            </w:pPr>
            <w:r>
              <w:rPr>
                <w:rFonts w:ascii="Times New Roman" w:hAnsi="Times New Roman"/>
                <w:sz w:val="24"/>
              </w:rPr>
              <w:t>Per le esposizioni verso amministrazioni centrali e banche centrali, imprese ed enti, cfr.</w:t>
            </w:r>
            <w:r w:rsidR="00181F07">
              <w:rPr>
                <w:rFonts w:ascii="Times New Roman" w:hAnsi="Times New Roman"/>
                <w:sz w:val="24"/>
              </w:rPr>
              <w:t> </w:t>
            </w:r>
            <w:r>
              <w:rPr>
                <w:rFonts w:ascii="Times New Roman" w:hAnsi="Times New Roman"/>
                <w:sz w:val="24"/>
              </w:rPr>
              <w:t xml:space="preserve">l'articolo 153, paragrafi 1, 2, 3 e 4, del regolamento (UE) n. 575/2013. Per le esposizioni al dettaglio, cfr. l’articolo 154, paragrafo 1, del regolamento (UE) n. 575/2013. </w:t>
            </w:r>
          </w:p>
          <w:p w14:paraId="1B679E8C" w14:textId="0358019B" w:rsidR="00FB3D09" w:rsidRPr="002A677E" w:rsidRDefault="00FB3D09" w:rsidP="00822842">
            <w:pPr>
              <w:rPr>
                <w:rFonts w:ascii="Times New Roman" w:hAnsi="Times New Roman"/>
                <w:b/>
                <w:sz w:val="24"/>
                <w:u w:val="single"/>
              </w:rPr>
            </w:pPr>
            <w:r>
              <w:rPr>
                <w:rFonts w:ascii="Times New Roman" w:hAnsi="Times New Roman"/>
                <w:sz w:val="24"/>
              </w:rPr>
              <w:t>Non si tiene conto dei fattori di sostegno alle PMI e alle infrastrutture di cui agli articoli</w:t>
            </w:r>
            <w:r w:rsidR="00181F07">
              <w:rPr>
                <w:rFonts w:ascii="Times New Roman" w:hAnsi="Times New Roman"/>
                <w:sz w:val="24"/>
              </w:rPr>
              <w:t> </w:t>
            </w:r>
            <w:r>
              <w:rPr>
                <w:rFonts w:ascii="Times New Roman" w:hAnsi="Times New Roman"/>
                <w:sz w:val="24"/>
              </w:rPr>
              <w:t>501 e 501 bis del regolamento (UE) n. 575/2013.</w:t>
            </w:r>
          </w:p>
        </w:tc>
      </w:tr>
      <w:tr w:rsidR="00FB3D09" w:rsidRPr="002A677E" w14:paraId="00547464" w14:textId="77777777" w:rsidTr="00822842">
        <w:tc>
          <w:tcPr>
            <w:tcW w:w="1188" w:type="dxa"/>
          </w:tcPr>
          <w:p w14:paraId="607227A4" w14:textId="77777777" w:rsidR="00FB3D09" w:rsidRPr="002A677E" w:rsidRDefault="00FB3D09" w:rsidP="00822842">
            <w:pPr>
              <w:rPr>
                <w:rFonts w:ascii="Times New Roman" w:hAnsi="Times New Roman"/>
                <w:sz w:val="24"/>
              </w:rPr>
            </w:pPr>
            <w:r>
              <w:rPr>
                <w:rFonts w:ascii="Times New Roman" w:hAnsi="Times New Roman"/>
                <w:sz w:val="24"/>
              </w:rPr>
              <w:lastRenderedPageBreak/>
              <w:t>0256</w:t>
            </w:r>
          </w:p>
        </w:tc>
        <w:tc>
          <w:tcPr>
            <w:tcW w:w="8843" w:type="dxa"/>
          </w:tcPr>
          <w:p w14:paraId="16679AD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RETTIFICA DELL'IMPORTO DELL'ESPOSIZIONE PONDERATO PER IL RISCHIO DOVUTA AL FATTORE DI SOSTEGNO ALLE PMI</w:t>
            </w:r>
          </w:p>
          <w:p w14:paraId="1FAB0E68" w14:textId="77777777" w:rsidR="00FB3D09" w:rsidRPr="002A677E" w:rsidRDefault="00FB3D09" w:rsidP="00822842">
            <w:pPr>
              <w:rPr>
                <w:rFonts w:ascii="Times New Roman" w:hAnsi="Times New Roman"/>
                <w:b/>
                <w:sz w:val="24"/>
                <w:u w:val="single"/>
              </w:rPr>
            </w:pPr>
            <w:r>
              <w:rPr>
                <w:rFonts w:ascii="Times New Roman" w:hAnsi="Times New Roman"/>
                <w:sz w:val="24"/>
              </w:rPr>
              <w:t>Deduzione della differenza tra gli importi ponderati per il rischio delle esposizioni non in stato di default verso una PMI (RWEA), che sono calcolati in conformità della parte tre, titolo II, capo 3, del regolamento (UE) n. 575/2013, a seconda dei casi, e la RWEA* in conformità dell'articolo 501 di tale regolamento</w:t>
            </w:r>
          </w:p>
        </w:tc>
      </w:tr>
      <w:tr w:rsidR="00FB3D09" w:rsidRPr="002A677E" w14:paraId="601EC6CE" w14:textId="77777777" w:rsidTr="00822842">
        <w:tc>
          <w:tcPr>
            <w:tcW w:w="1188" w:type="dxa"/>
          </w:tcPr>
          <w:p w14:paraId="4301D42E" w14:textId="77777777" w:rsidR="00FB3D09" w:rsidRPr="002A677E" w:rsidRDefault="00FB3D09" w:rsidP="00822842">
            <w:pPr>
              <w:rPr>
                <w:rFonts w:ascii="Times New Roman" w:hAnsi="Times New Roman"/>
                <w:sz w:val="24"/>
              </w:rPr>
            </w:pPr>
            <w:r>
              <w:rPr>
                <w:rFonts w:ascii="Times New Roman" w:hAnsi="Times New Roman"/>
                <w:sz w:val="24"/>
              </w:rPr>
              <w:t>0257</w:t>
            </w:r>
          </w:p>
        </w:tc>
        <w:tc>
          <w:tcPr>
            <w:tcW w:w="8843" w:type="dxa"/>
          </w:tcPr>
          <w:p w14:paraId="3835B6D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RETTIFICA DELL'IMPORTO DELL'ESPOSIZIONE PONDERATO PER IL RISCHIO DOVUTA AL FATTORE DI SOSTEGNO ALLE INFRASTRUTTURE</w:t>
            </w:r>
          </w:p>
          <w:p w14:paraId="7FB50F74" w14:textId="77777777" w:rsidR="00FB3D09" w:rsidRPr="002A677E" w:rsidRDefault="00FB3D09" w:rsidP="00822842">
            <w:pPr>
              <w:rPr>
                <w:rFonts w:ascii="Times New Roman" w:hAnsi="Times New Roman"/>
                <w:b/>
                <w:sz w:val="24"/>
                <w:u w:val="single"/>
              </w:rPr>
            </w:pPr>
            <w:r>
              <w:rPr>
                <w:rFonts w:ascii="Times New Roman" w:hAnsi="Times New Roman"/>
                <w:sz w:val="24"/>
              </w:rPr>
              <w:t xml:space="preserve">Deduzione della differenza tra gli importi delle esposizioni ponderati per il rischio calcolati conformemente alla parte tre, titolo II, del regolamento (UE) n. 575/2013 e l'RWEA rettificato per il rischio di credito per le esposizioni verso soggetti che gestiscono o finanziano strutture fisiche o impianti, sistemi e reti che forniscono o sostengono servizi pubblici essenziali conformemente all'articolo 501 bis di tale regolamento. </w:t>
            </w:r>
          </w:p>
        </w:tc>
      </w:tr>
      <w:tr w:rsidR="00FB3D09" w:rsidRPr="002A677E" w14:paraId="01863AFF" w14:textId="77777777" w:rsidTr="00822842">
        <w:tc>
          <w:tcPr>
            <w:tcW w:w="1188" w:type="dxa"/>
            <w:shd w:val="clear" w:color="auto" w:fill="auto"/>
          </w:tcPr>
          <w:p w14:paraId="17BDBBCF" w14:textId="77777777" w:rsidR="00FB3D09" w:rsidRPr="002A677E" w:rsidRDefault="00FB3D09" w:rsidP="00822842">
            <w:pPr>
              <w:rPr>
                <w:rFonts w:ascii="Times New Roman" w:hAnsi="Times New Roman"/>
                <w:sz w:val="24"/>
              </w:rPr>
            </w:pPr>
            <w:r>
              <w:rPr>
                <w:rFonts w:ascii="Times New Roman" w:hAnsi="Times New Roman"/>
                <w:sz w:val="24"/>
              </w:rPr>
              <w:t>0260</w:t>
            </w:r>
          </w:p>
        </w:tc>
        <w:tc>
          <w:tcPr>
            <w:tcW w:w="8843" w:type="dxa"/>
            <w:shd w:val="clear" w:color="auto" w:fill="auto"/>
          </w:tcPr>
          <w:p w14:paraId="64DAA80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IMPORTO DELL'ESPOSIZIONE PONDERATO PER IL RISCHIO DOPO L'APPLICAZIONE DEI FATTORI DI SOSTEGNO</w:t>
            </w:r>
          </w:p>
          <w:p w14:paraId="336DC8E0" w14:textId="77777777" w:rsidR="00FB3D09" w:rsidRPr="002A677E" w:rsidRDefault="00FB3D09" w:rsidP="00822842">
            <w:pPr>
              <w:rPr>
                <w:rFonts w:ascii="Times New Roman" w:hAnsi="Times New Roman"/>
                <w:sz w:val="24"/>
              </w:rPr>
            </w:pPr>
            <w:r>
              <w:rPr>
                <w:rFonts w:ascii="Times New Roman" w:hAnsi="Times New Roman"/>
                <w:sz w:val="24"/>
              </w:rPr>
              <w:t>Per le esposizioni verso amministrazioni centrali e banche centrali, imprese ed enti, cfr. l'articolo 153, paragrafi 1, 2, 3 e 4, del regolamento (UE) n. 575/2013. Per le esposizioni al dettaglio, cfr. l’articolo 154, paragrafo 1, del regolamento (UE) n. 575/2013.</w:t>
            </w:r>
          </w:p>
          <w:p w14:paraId="15BFFE29" w14:textId="77777777" w:rsidR="00FB3D09" w:rsidRPr="002A677E" w:rsidRDefault="00FB3D09" w:rsidP="00822842">
            <w:pPr>
              <w:rPr>
                <w:rFonts w:ascii="Times New Roman" w:hAnsi="Times New Roman"/>
                <w:b/>
                <w:sz w:val="24"/>
                <w:u w:val="single"/>
              </w:rPr>
            </w:pPr>
            <w:r>
              <w:rPr>
                <w:rFonts w:ascii="Times New Roman" w:hAnsi="Times New Roman"/>
                <w:sz w:val="24"/>
              </w:rPr>
              <w:t>Si tiene conto dei fattori di sostegno alle PMI e alle infrastrutture di cui agli articoli 501 e 501 bis del regolamento (UE) n. 575/2013.</w:t>
            </w:r>
          </w:p>
        </w:tc>
      </w:tr>
      <w:tr w:rsidR="00FB3D09" w:rsidRPr="002A677E" w14:paraId="1E25EE5D" w14:textId="77777777" w:rsidTr="00822842">
        <w:tc>
          <w:tcPr>
            <w:tcW w:w="1188" w:type="dxa"/>
            <w:shd w:val="clear" w:color="auto" w:fill="auto"/>
          </w:tcPr>
          <w:p w14:paraId="159202C9" w14:textId="77777777" w:rsidR="00FB3D09" w:rsidRPr="002A677E" w:rsidRDefault="00FB3D09" w:rsidP="00822842">
            <w:pPr>
              <w:rPr>
                <w:rFonts w:ascii="Times New Roman" w:hAnsi="Times New Roman"/>
                <w:sz w:val="24"/>
              </w:rPr>
            </w:pPr>
            <w:r>
              <w:rPr>
                <w:rFonts w:ascii="Times New Roman" w:hAnsi="Times New Roman"/>
                <w:sz w:val="24"/>
              </w:rPr>
              <w:t>0270</w:t>
            </w:r>
          </w:p>
        </w:tc>
        <w:tc>
          <w:tcPr>
            <w:tcW w:w="8843" w:type="dxa"/>
            <w:shd w:val="clear" w:color="auto" w:fill="auto"/>
          </w:tcPr>
          <w:p w14:paraId="1D818AB3"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DI CUI: SOGGETTI DI GRANDI DIMENSIONI DEL SETTORE FINANZIARIO E SOGGETTI FINANZIARI NON REGOLAMENTATI</w:t>
            </w:r>
          </w:p>
          <w:p w14:paraId="0DB2C46B" w14:textId="77777777" w:rsidR="00FB3D09" w:rsidRPr="002A677E" w:rsidDel="005A2363" w:rsidRDefault="00FB3D09" w:rsidP="00822842">
            <w:pPr>
              <w:rPr>
                <w:rFonts w:ascii="Times New Roman" w:hAnsi="Times New Roman"/>
                <w:sz w:val="24"/>
              </w:rPr>
            </w:pPr>
            <w:r>
              <w:rPr>
                <w:rFonts w:ascii="Times New Roman" w:hAnsi="Times New Roman"/>
                <w:sz w:val="24"/>
              </w:rPr>
              <w:t>Ripartizione dell'importo dell'esposizione ponderato per il rischio dopo l'applicazione del fattore di sostegno alle PMI per tutte le esposizioni verso soggetti di grandi dimensioni del settore finanziario così come definiti nell'articolo 142, paragrafo 1, punto 4, del regolamento (UE) n. 575/2013 e verso soggetti del settore finanziario non regolamentati così come definiti nell'articolo 142, paragrafo 1, punto 5, di tale regolamento, soggetti al coefficiente di correlazione più elevato determinato conformemente all'articolo 153, paragrafo 2, di tale regolamento.</w:t>
            </w:r>
          </w:p>
        </w:tc>
      </w:tr>
      <w:tr w:rsidR="00FB3D09" w:rsidRPr="002A677E" w14:paraId="60FB0B14" w14:textId="77777777" w:rsidTr="00822842">
        <w:tc>
          <w:tcPr>
            <w:tcW w:w="1188" w:type="dxa"/>
          </w:tcPr>
          <w:p w14:paraId="30362B6F" w14:textId="77777777" w:rsidR="00FB3D09" w:rsidRPr="002A677E" w:rsidRDefault="00FB3D09" w:rsidP="00822842">
            <w:pPr>
              <w:rPr>
                <w:rFonts w:ascii="Times New Roman" w:hAnsi="Times New Roman"/>
                <w:sz w:val="24"/>
              </w:rPr>
            </w:pPr>
            <w:r>
              <w:rPr>
                <w:rFonts w:ascii="Times New Roman" w:hAnsi="Times New Roman"/>
                <w:sz w:val="24"/>
              </w:rPr>
              <w:t>0280</w:t>
            </w:r>
          </w:p>
        </w:tc>
        <w:tc>
          <w:tcPr>
            <w:tcW w:w="8843" w:type="dxa"/>
          </w:tcPr>
          <w:p w14:paraId="292D01A7" w14:textId="77777777" w:rsidR="00FB3D09" w:rsidRPr="002A677E" w:rsidRDefault="00FB3D09" w:rsidP="00181F07">
            <w:pPr>
              <w:rPr>
                <w:rFonts w:ascii="Times New Roman" w:hAnsi="Times New Roman"/>
                <w:b/>
                <w:sz w:val="24"/>
                <w:u w:val="single"/>
              </w:rPr>
            </w:pPr>
            <w:r>
              <w:rPr>
                <w:rFonts w:ascii="Times New Roman" w:hAnsi="Times New Roman"/>
                <w:b/>
                <w:sz w:val="24"/>
                <w:u w:val="single"/>
              </w:rPr>
              <w:t>IMPORTO DELLE PERDITE ATTESE</w:t>
            </w:r>
          </w:p>
          <w:p w14:paraId="3EA527F7" w14:textId="7112CD60" w:rsidR="00FB3D09" w:rsidRPr="002A677E" w:rsidRDefault="00FB3D09" w:rsidP="00181F07">
            <w:pPr>
              <w:rPr>
                <w:rFonts w:ascii="Times New Roman" w:hAnsi="Times New Roman"/>
                <w:sz w:val="24"/>
              </w:rPr>
            </w:pPr>
            <w:r>
              <w:rPr>
                <w:rFonts w:ascii="Times New Roman" w:hAnsi="Times New Roman"/>
                <w:sz w:val="24"/>
              </w:rPr>
              <w:t>Per la definizione di perdita attesa, cfr. l'articolo 5, punto 3, del regolamento (UE) n.</w:t>
            </w:r>
            <w:r w:rsidR="00181F07">
              <w:rPr>
                <w:rFonts w:ascii="Times New Roman" w:hAnsi="Times New Roman"/>
                <w:sz w:val="24"/>
              </w:rPr>
              <w:t> </w:t>
            </w:r>
            <w:r>
              <w:rPr>
                <w:rFonts w:ascii="Times New Roman" w:hAnsi="Times New Roman"/>
                <w:sz w:val="24"/>
              </w:rPr>
              <w:t>575/2013; per il calcolo degli importi delle perdite attese, cfr. l'articolo 158 di tale regolamento. Per le esposizioni in stato di default cfr. l’articolo 181, paragrafo 1,</w:t>
            </w:r>
            <w:r>
              <w:rPr>
                <w:rFonts w:ascii="Times New Roman" w:hAnsi="Times New Roman"/>
                <w:sz w:val="24"/>
              </w:rPr>
              <w:br/>
              <w:t>lettera h), del regolamento (UE) n. 575/2013. L'importo delle perdite attese da segnalare si basa sui parametri di rischio effettivamente utilizzati nella scala di rating interni approvata dalla rispettiva autorità competente.</w:t>
            </w:r>
          </w:p>
        </w:tc>
      </w:tr>
      <w:tr w:rsidR="00FB3D09" w:rsidRPr="002A677E" w14:paraId="78AB62DA" w14:textId="77777777" w:rsidTr="00822842">
        <w:tc>
          <w:tcPr>
            <w:tcW w:w="1188" w:type="dxa"/>
          </w:tcPr>
          <w:p w14:paraId="19E4E66B" w14:textId="77777777" w:rsidR="00FB3D09" w:rsidRPr="002A677E" w:rsidRDefault="00FB3D09" w:rsidP="00822842">
            <w:pPr>
              <w:rPr>
                <w:rFonts w:ascii="Times New Roman" w:hAnsi="Times New Roman"/>
                <w:sz w:val="24"/>
              </w:rPr>
            </w:pPr>
            <w:r>
              <w:rPr>
                <w:rFonts w:ascii="Times New Roman" w:hAnsi="Times New Roman"/>
                <w:sz w:val="24"/>
              </w:rPr>
              <w:t>0290</w:t>
            </w:r>
          </w:p>
        </w:tc>
        <w:tc>
          <w:tcPr>
            <w:tcW w:w="8843" w:type="dxa"/>
          </w:tcPr>
          <w:p w14:paraId="7D685CC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RETTIFICHE DI VALORE E ACCANTONAMENTI</w:t>
            </w:r>
          </w:p>
          <w:p w14:paraId="27BC2A31" w14:textId="77777777" w:rsidR="00FB3D09" w:rsidRPr="002A677E" w:rsidRDefault="00FB3D09" w:rsidP="00822842">
            <w:pPr>
              <w:rPr>
                <w:rFonts w:ascii="Times New Roman" w:hAnsi="Times New Roman"/>
                <w:sz w:val="24"/>
              </w:rPr>
            </w:pPr>
            <w:r>
              <w:rPr>
                <w:rFonts w:ascii="Times New Roman" w:hAnsi="Times New Roman"/>
                <w:sz w:val="24"/>
              </w:rPr>
              <w:t>In questa riga sono segnalate le rettifiche di valore e le rettifiche di valore su crediti specifiche e generiche conformemente all'articolo 159 del regolamento (UE) n. 575/2013. Le rettifiche di valore su crediti generiche</w:t>
            </w:r>
            <w:r>
              <w:rPr>
                <w:rFonts w:ascii="Times New Roman" w:hAnsi="Times New Roman"/>
                <w:b/>
                <w:i/>
                <w:sz w:val="24"/>
              </w:rPr>
              <w:t xml:space="preserve"> </w:t>
            </w:r>
            <w:r>
              <w:rPr>
                <w:rFonts w:ascii="Times New Roman" w:hAnsi="Times New Roman"/>
                <w:sz w:val="24"/>
              </w:rPr>
              <w:t>sono segnalate assegnando un importo pro rata in funzione delle perdite attese delle diverse classi di debitori.</w:t>
            </w:r>
          </w:p>
        </w:tc>
      </w:tr>
      <w:tr w:rsidR="00FB3D09" w:rsidRPr="002A677E" w14:paraId="21C57CE6" w14:textId="77777777" w:rsidTr="00822842">
        <w:tc>
          <w:tcPr>
            <w:tcW w:w="1188" w:type="dxa"/>
          </w:tcPr>
          <w:p w14:paraId="61FC4938" w14:textId="77777777" w:rsidR="00FB3D09" w:rsidRPr="002A677E" w:rsidRDefault="00FB3D09" w:rsidP="00822842">
            <w:pPr>
              <w:ind w:right="-288"/>
              <w:rPr>
                <w:rFonts w:ascii="Times New Roman" w:hAnsi="Times New Roman"/>
                <w:sz w:val="24"/>
              </w:rPr>
            </w:pPr>
            <w:r>
              <w:rPr>
                <w:rFonts w:ascii="Times New Roman" w:hAnsi="Times New Roman"/>
                <w:sz w:val="24"/>
              </w:rPr>
              <w:lastRenderedPageBreak/>
              <w:t>0300</w:t>
            </w:r>
          </w:p>
        </w:tc>
        <w:tc>
          <w:tcPr>
            <w:tcW w:w="8843" w:type="dxa"/>
          </w:tcPr>
          <w:p w14:paraId="2691C548" w14:textId="77777777" w:rsidR="00FB3D09" w:rsidRPr="002A677E" w:rsidRDefault="00FB3D09" w:rsidP="00822842">
            <w:pPr>
              <w:ind w:right="-288"/>
              <w:rPr>
                <w:rFonts w:ascii="Times New Roman" w:hAnsi="Times New Roman"/>
                <w:b/>
                <w:sz w:val="24"/>
                <w:u w:val="single"/>
              </w:rPr>
            </w:pPr>
            <w:r>
              <w:rPr>
                <w:rFonts w:ascii="Times New Roman" w:hAnsi="Times New Roman"/>
                <w:b/>
                <w:sz w:val="24"/>
                <w:u w:val="single"/>
              </w:rPr>
              <w:t>NUMERO DI DEBITORI</w:t>
            </w:r>
          </w:p>
          <w:p w14:paraId="414A3020" w14:textId="77777777" w:rsidR="00FB3D09" w:rsidRPr="002A677E" w:rsidRDefault="00FB3D09" w:rsidP="00822842">
            <w:pPr>
              <w:rPr>
                <w:rFonts w:ascii="Times New Roman" w:hAnsi="Times New Roman"/>
                <w:sz w:val="24"/>
              </w:rPr>
            </w:pPr>
            <w:r>
              <w:rPr>
                <w:rFonts w:ascii="Times New Roman" w:hAnsi="Times New Roman"/>
                <w:sz w:val="24"/>
              </w:rPr>
              <w:t>Articolo 172, paragrafi 1 e 2, del regolamento (UE) n. 575/2013.</w:t>
            </w:r>
          </w:p>
          <w:p w14:paraId="562514B7" w14:textId="77777777" w:rsidR="00FB3D09" w:rsidRPr="002A677E" w:rsidRDefault="00FB3D09" w:rsidP="00822842">
            <w:pPr>
              <w:rPr>
                <w:rFonts w:ascii="Times New Roman" w:hAnsi="Times New Roman"/>
                <w:sz w:val="24"/>
              </w:rPr>
            </w:pPr>
            <w:r>
              <w:rPr>
                <w:rFonts w:ascii="Times New Roman" w:hAnsi="Times New Roman"/>
                <w:sz w:val="24"/>
              </w:rPr>
              <w:t xml:space="preserve">Per tutte le classi di esposizioni, fatta eccezione per la classe di esposizioni "al dettaglio" e per i casi di cui all'articolo 172, paragrafo 1, lettera e), seconda frase, del regolamento (UE) n. 575/2013, l'ente segnala il numero dei soggetti giuridici/debitori valutati separatamente, a prescindere dal numero dei diversi prestiti o esposizioni concessi. </w:t>
            </w:r>
          </w:p>
          <w:p w14:paraId="67988932" w14:textId="77777777" w:rsidR="00FB3D09" w:rsidRPr="002A677E" w:rsidRDefault="00FB3D09" w:rsidP="00822842">
            <w:pPr>
              <w:rPr>
                <w:rFonts w:ascii="Times New Roman" w:hAnsi="Times New Roman"/>
                <w:sz w:val="24"/>
              </w:rPr>
            </w:pPr>
            <w:r>
              <w:rPr>
                <w:rFonts w:ascii="Times New Roman" w:hAnsi="Times New Roman"/>
                <w:sz w:val="24"/>
              </w:rPr>
              <w:t>Nell'ambito della classe di esposizioni "al dettaglio" o se le varie esposizioni verso lo stesso debitore sono assegnate a diverse classi di debitori conformemente all'articolo 172, paragrafo 1, lettera e), seconda frase, del regolamento (UE) n. 575/2013 in altre classi di esposizioni, l'ente segnala il numero delle esposizioni assegnate separatamente a una determinata classe o pool di rating. Ove trovi applicazione l'articolo 172, paragrafo 2, del regolamento (UE) n. 575/2013, un debitore può essere assegnato a più di una classe.</w:t>
            </w:r>
          </w:p>
          <w:p w14:paraId="61D41F66" w14:textId="77777777" w:rsidR="00FB3D09" w:rsidRPr="002A677E" w:rsidRDefault="00FB3D09" w:rsidP="00822842">
            <w:pPr>
              <w:rPr>
                <w:rFonts w:ascii="Times New Roman" w:hAnsi="Times New Roman"/>
                <w:sz w:val="24"/>
              </w:rPr>
            </w:pPr>
            <w:r>
              <w:rPr>
                <w:rStyle w:val="InstructionsTabelleText"/>
                <w:rFonts w:ascii="Times New Roman" w:hAnsi="Times New Roman"/>
                <w:sz w:val="24"/>
              </w:rPr>
              <w:t>Poiché riguarda un elemento della struttura delle scale di rating, questa colonna fa riferimento alle esposizioni originarie prima dell'applicazione del fattore di conversione attribuito a ciascuna classe o pool di debitori, senza considerare l'effetto delle tecniche di attenuazione del rischio di credito (in particolare gli effetti di riassegnazione).</w:t>
            </w:r>
          </w:p>
        </w:tc>
      </w:tr>
      <w:tr w:rsidR="00FB3D09" w:rsidRPr="002A677E" w14:paraId="387DE7F0" w14:textId="77777777" w:rsidTr="00822842">
        <w:tc>
          <w:tcPr>
            <w:tcW w:w="1188" w:type="dxa"/>
          </w:tcPr>
          <w:p w14:paraId="30554C29" w14:textId="77777777" w:rsidR="00FB3D09" w:rsidRPr="002A677E" w:rsidRDefault="00FB3D09" w:rsidP="00822842">
            <w:pPr>
              <w:ind w:right="-288"/>
              <w:rPr>
                <w:rFonts w:ascii="Times New Roman" w:hAnsi="Times New Roman"/>
                <w:sz w:val="24"/>
              </w:rPr>
            </w:pPr>
            <w:r>
              <w:rPr>
                <w:rFonts w:ascii="Times New Roman" w:hAnsi="Times New Roman"/>
                <w:sz w:val="24"/>
              </w:rPr>
              <w:t>0310</w:t>
            </w:r>
          </w:p>
        </w:tc>
        <w:tc>
          <w:tcPr>
            <w:tcW w:w="8843" w:type="dxa"/>
          </w:tcPr>
          <w:p w14:paraId="53579B1B" w14:textId="77777777" w:rsidR="00FB3D09" w:rsidRPr="002A677E" w:rsidRDefault="00FB3D09" w:rsidP="00822842">
            <w:pPr>
              <w:ind w:right="-288"/>
              <w:rPr>
                <w:rFonts w:ascii="Times New Roman" w:hAnsi="Times New Roman"/>
                <w:b/>
                <w:sz w:val="24"/>
                <w:u w:val="single"/>
              </w:rPr>
            </w:pPr>
            <w:r>
              <w:rPr>
                <w:rFonts w:ascii="Times New Roman" w:hAnsi="Times New Roman"/>
                <w:b/>
                <w:sz w:val="24"/>
                <w:u w:val="single"/>
              </w:rPr>
              <w:t>IMPORTO DELL'ESPOSIZIONE PONDERATO PER IL RISCHIO PRE-DERIVATI SU CREDITI</w:t>
            </w:r>
          </w:p>
          <w:p w14:paraId="62E64F52" w14:textId="77777777" w:rsidR="00FB3D09" w:rsidRPr="002A677E" w:rsidRDefault="00FB3D09" w:rsidP="00822842">
            <w:pPr>
              <w:ind w:right="6"/>
              <w:rPr>
                <w:rFonts w:ascii="Times New Roman" w:hAnsi="Times New Roman"/>
                <w:b/>
                <w:sz w:val="24"/>
                <w:u w:val="single"/>
              </w:rPr>
            </w:pPr>
            <w:r>
              <w:rPr>
                <w:rFonts w:ascii="Times New Roman" w:hAnsi="Times New Roman"/>
                <w:sz w:val="24"/>
              </w:rPr>
              <w:t>L'ente segnala l'importo dell'esposizione ponderato per il rischio ipotetico da calcolare come l'RWEA senza il riconoscimento del derivato su crediti ammissibile come tecnica di CRM come specificato all'articolo 204 del regolamento (UE) n. 575/2013.</w:t>
            </w:r>
            <w:r>
              <w:rPr>
                <w:rStyle w:val="InstructionsTabelleText"/>
                <w:rFonts w:ascii="Times New Roman" w:hAnsi="Times New Roman"/>
                <w:sz w:val="24"/>
              </w:rPr>
              <w:t xml:space="preserve"> Gli importi sono presentati nelle classi di esposizioni pertinenti per le esposizioni verso il debitore originario.</w:t>
            </w:r>
          </w:p>
        </w:tc>
      </w:tr>
    </w:tbl>
    <w:p w14:paraId="5137B249" w14:textId="77777777" w:rsidR="00FB3D09" w:rsidRPr="002A677E" w:rsidRDefault="00FB3D09" w:rsidP="00FB3D09">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FB3D09" w:rsidRPr="002A677E" w14:paraId="182DA561" w14:textId="77777777" w:rsidTr="00822842">
        <w:tc>
          <w:tcPr>
            <w:tcW w:w="1242" w:type="dxa"/>
            <w:shd w:val="clear" w:color="auto" w:fill="CCCCCC"/>
          </w:tcPr>
          <w:p w14:paraId="60BF7B07" w14:textId="77777777" w:rsidR="00FB3D09" w:rsidRPr="002A677E" w:rsidRDefault="00FB3D09" w:rsidP="00822842">
            <w:pPr>
              <w:rPr>
                <w:rFonts w:ascii="Times New Roman" w:hAnsi="Times New Roman"/>
                <w:sz w:val="24"/>
              </w:rPr>
            </w:pPr>
            <w:r>
              <w:rPr>
                <w:rFonts w:ascii="Times New Roman" w:hAnsi="Times New Roman"/>
                <w:sz w:val="24"/>
              </w:rPr>
              <w:t>Righe</w:t>
            </w:r>
          </w:p>
        </w:tc>
        <w:tc>
          <w:tcPr>
            <w:tcW w:w="8789" w:type="dxa"/>
            <w:shd w:val="clear" w:color="auto" w:fill="CCCCCC"/>
          </w:tcPr>
          <w:p w14:paraId="2CDF9396" w14:textId="77777777" w:rsidR="00FB3D09" w:rsidRPr="002A677E" w:rsidRDefault="00FB3D09" w:rsidP="00822842">
            <w:pPr>
              <w:ind w:left="72"/>
              <w:rPr>
                <w:rFonts w:ascii="Times New Roman" w:hAnsi="Times New Roman"/>
                <w:sz w:val="24"/>
              </w:rPr>
            </w:pPr>
            <w:r>
              <w:rPr>
                <w:rFonts w:ascii="Times New Roman" w:hAnsi="Times New Roman"/>
                <w:sz w:val="24"/>
              </w:rPr>
              <w:t>Istruzioni</w:t>
            </w:r>
          </w:p>
        </w:tc>
      </w:tr>
      <w:tr w:rsidR="00FB3D09" w:rsidRPr="002A677E" w14:paraId="262380DA" w14:textId="77777777" w:rsidTr="00822842">
        <w:tc>
          <w:tcPr>
            <w:tcW w:w="1242" w:type="dxa"/>
          </w:tcPr>
          <w:p w14:paraId="2A2E4372" w14:textId="77777777" w:rsidR="00FB3D09" w:rsidRPr="002A677E" w:rsidRDefault="00FB3D09" w:rsidP="00822842">
            <w:pPr>
              <w:rPr>
                <w:rFonts w:ascii="Times New Roman" w:hAnsi="Times New Roman"/>
                <w:sz w:val="24"/>
              </w:rPr>
            </w:pPr>
            <w:r>
              <w:rPr>
                <w:rFonts w:ascii="Times New Roman" w:hAnsi="Times New Roman"/>
                <w:sz w:val="24"/>
              </w:rPr>
              <w:t>0010</w:t>
            </w:r>
          </w:p>
        </w:tc>
        <w:tc>
          <w:tcPr>
            <w:tcW w:w="8789" w:type="dxa"/>
          </w:tcPr>
          <w:p w14:paraId="4BDE31A6" w14:textId="77777777" w:rsidR="00FB3D09" w:rsidRPr="002A677E" w:rsidRDefault="00FB3D09" w:rsidP="00822842">
            <w:pPr>
              <w:rPr>
                <w:rFonts w:ascii="Times New Roman" w:hAnsi="Times New Roman"/>
                <w:sz w:val="24"/>
              </w:rPr>
            </w:pPr>
            <w:r>
              <w:rPr>
                <w:rFonts w:ascii="Times New Roman" w:hAnsi="Times New Roman"/>
                <w:b/>
                <w:sz w:val="24"/>
                <w:u w:val="single"/>
              </w:rPr>
              <w:t>ESPOSIZIONI TOTALI</w:t>
            </w:r>
          </w:p>
        </w:tc>
      </w:tr>
      <w:tr w:rsidR="00FB3D09" w:rsidRPr="002A677E" w14:paraId="510EDBE9" w14:textId="77777777" w:rsidTr="00822842">
        <w:tc>
          <w:tcPr>
            <w:tcW w:w="1242" w:type="dxa"/>
          </w:tcPr>
          <w:p w14:paraId="3B12F2FA" w14:textId="77777777" w:rsidR="00FB3D09" w:rsidRPr="002A677E" w:rsidRDefault="00FB3D09" w:rsidP="00822842">
            <w:pPr>
              <w:rPr>
                <w:rFonts w:ascii="Times New Roman" w:hAnsi="Times New Roman"/>
                <w:sz w:val="24"/>
              </w:rPr>
            </w:pPr>
            <w:r>
              <w:rPr>
                <w:rFonts w:ascii="Times New Roman" w:hAnsi="Times New Roman"/>
                <w:sz w:val="24"/>
              </w:rPr>
              <w:t>0015</w:t>
            </w:r>
          </w:p>
        </w:tc>
        <w:tc>
          <w:tcPr>
            <w:tcW w:w="8789" w:type="dxa"/>
          </w:tcPr>
          <w:p w14:paraId="61003B1B"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di cui: esposizioni soggette al fattore di sostegno alle PMI</w:t>
            </w:r>
          </w:p>
          <w:p w14:paraId="60E8764A" w14:textId="77777777" w:rsidR="00FB3D09" w:rsidRPr="002A677E" w:rsidRDefault="00FB3D09" w:rsidP="00822842">
            <w:pPr>
              <w:rPr>
                <w:rFonts w:ascii="Times New Roman" w:hAnsi="Times New Roman"/>
                <w:sz w:val="24"/>
              </w:rPr>
            </w:pPr>
            <w:r>
              <w:rPr>
                <w:rFonts w:ascii="Times New Roman" w:hAnsi="Times New Roman"/>
                <w:sz w:val="24"/>
              </w:rPr>
              <w:t>In questa riga sono segnalate soltanto le esposizioni che soddisfano i requisiti dell'articolo 501 del regolamento (UE) n. 575/2013.</w:t>
            </w:r>
          </w:p>
        </w:tc>
      </w:tr>
      <w:tr w:rsidR="00FB3D09" w:rsidRPr="002A677E" w14:paraId="5CCB93AD" w14:textId="77777777" w:rsidTr="00822842">
        <w:tc>
          <w:tcPr>
            <w:tcW w:w="1242" w:type="dxa"/>
          </w:tcPr>
          <w:p w14:paraId="42174A1E" w14:textId="77777777" w:rsidR="00FB3D09" w:rsidRPr="002A677E" w:rsidRDefault="00FB3D09" w:rsidP="00822842">
            <w:pPr>
              <w:rPr>
                <w:rFonts w:ascii="Times New Roman" w:hAnsi="Times New Roman"/>
                <w:sz w:val="24"/>
              </w:rPr>
            </w:pPr>
            <w:r>
              <w:rPr>
                <w:rFonts w:ascii="Times New Roman" w:hAnsi="Times New Roman"/>
                <w:sz w:val="24"/>
              </w:rPr>
              <w:t>0016</w:t>
            </w:r>
          </w:p>
        </w:tc>
        <w:tc>
          <w:tcPr>
            <w:tcW w:w="8789" w:type="dxa"/>
          </w:tcPr>
          <w:p w14:paraId="12833DE3" w14:textId="77777777" w:rsidR="00FB3D09" w:rsidRPr="00891B34" w:rsidRDefault="00FB3D09" w:rsidP="00822842">
            <w:pPr>
              <w:rPr>
                <w:rFonts w:ascii="Times New Roman" w:hAnsi="Times New Roman"/>
                <w:b/>
                <w:sz w:val="24"/>
                <w:u w:val="single"/>
              </w:rPr>
            </w:pPr>
            <w:r>
              <w:rPr>
                <w:rFonts w:ascii="Times New Roman" w:hAnsi="Times New Roman"/>
                <w:b/>
                <w:sz w:val="24"/>
                <w:u w:val="single"/>
              </w:rPr>
              <w:t>di cui: esposizioni soggette al fattore di sostegno alle infrastrutture</w:t>
            </w:r>
          </w:p>
          <w:p w14:paraId="4FE9F0E6" w14:textId="77777777" w:rsidR="00FB3D09" w:rsidRPr="00B7761D" w:rsidRDefault="00FB3D09" w:rsidP="00822842">
            <w:pPr>
              <w:rPr>
                <w:rFonts w:ascii="Times New Roman" w:hAnsi="Times New Roman"/>
                <w:bCs/>
                <w:sz w:val="24"/>
                <w:u w:val="single"/>
              </w:rPr>
            </w:pPr>
            <w:r>
              <w:rPr>
                <w:rFonts w:ascii="Times New Roman" w:hAnsi="Times New Roman"/>
                <w:sz w:val="24"/>
              </w:rPr>
              <w:t>In questa riga sono segnalate soltanto le esposizioni che soddisfano i requisiti dell'articolo 501 bis del regolamento (UE) n. 575/2013.</w:t>
            </w:r>
          </w:p>
        </w:tc>
      </w:tr>
      <w:tr w:rsidR="005E354B" w:rsidRPr="002A677E" w14:paraId="7311B76A" w14:textId="77777777" w:rsidTr="005E354B">
        <w:tc>
          <w:tcPr>
            <w:tcW w:w="1242" w:type="dxa"/>
            <w:tcBorders>
              <w:top w:val="single" w:sz="4" w:space="0" w:color="auto"/>
              <w:left w:val="single" w:sz="4" w:space="0" w:color="auto"/>
              <w:bottom w:val="single" w:sz="4" w:space="0" w:color="auto"/>
              <w:right w:val="single" w:sz="4" w:space="0" w:color="auto"/>
            </w:tcBorders>
          </w:tcPr>
          <w:p w14:paraId="22B9A309" w14:textId="77777777"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0017</w:t>
            </w:r>
          </w:p>
        </w:tc>
        <w:tc>
          <w:tcPr>
            <w:tcW w:w="8789" w:type="dxa"/>
            <w:tcBorders>
              <w:top w:val="single" w:sz="4" w:space="0" w:color="auto"/>
              <w:left w:val="single" w:sz="4" w:space="0" w:color="auto"/>
              <w:bottom w:val="single" w:sz="4" w:space="0" w:color="auto"/>
              <w:right w:val="single" w:sz="4" w:space="0" w:color="auto"/>
            </w:tcBorders>
          </w:tcPr>
          <w:p w14:paraId="46B0659D" w14:textId="77777777"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 xml:space="preserve">di cui: garantite da ipoteche su beni immobili residenziali - non-IPRE </w:t>
            </w:r>
          </w:p>
          <w:p w14:paraId="78370D9A" w14:textId="1CE58A39"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Esposizioni garantite da immobili residenziali quali definiti all'articolo 4, paragrafo 1, punto 75 quinquies, del regolamento (UE) n. 575/2013 e che soddisfano anche la definizione di cui all'articolo 4, paragrafo 1, punto 75 quater, del regolamento (UE) n.</w:t>
            </w:r>
            <w:r w:rsidR="00181F07">
              <w:rPr>
                <w:rFonts w:ascii="Times New Roman" w:hAnsi="Times New Roman"/>
                <w:sz w:val="24"/>
              </w:rPr>
              <w:t> </w:t>
            </w:r>
            <w:r>
              <w:rPr>
                <w:rFonts w:ascii="Times New Roman" w:hAnsi="Times New Roman"/>
                <w:sz w:val="24"/>
              </w:rPr>
              <w:t>575/2013.</w:t>
            </w:r>
          </w:p>
        </w:tc>
      </w:tr>
      <w:tr w:rsidR="005E354B" w:rsidRPr="002A677E" w14:paraId="7285D5CE" w14:textId="77777777" w:rsidTr="005E354B">
        <w:tc>
          <w:tcPr>
            <w:tcW w:w="1242" w:type="dxa"/>
            <w:tcBorders>
              <w:top w:val="single" w:sz="4" w:space="0" w:color="auto"/>
              <w:left w:val="single" w:sz="4" w:space="0" w:color="auto"/>
              <w:bottom w:val="single" w:sz="4" w:space="0" w:color="auto"/>
              <w:right w:val="single" w:sz="4" w:space="0" w:color="auto"/>
            </w:tcBorders>
          </w:tcPr>
          <w:p w14:paraId="09B6620F" w14:textId="54E0D353"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0018</w:t>
            </w:r>
          </w:p>
        </w:tc>
        <w:tc>
          <w:tcPr>
            <w:tcW w:w="8789" w:type="dxa"/>
            <w:tcBorders>
              <w:top w:val="single" w:sz="4" w:space="0" w:color="auto"/>
              <w:left w:val="single" w:sz="4" w:space="0" w:color="auto"/>
              <w:bottom w:val="single" w:sz="4" w:space="0" w:color="auto"/>
              <w:right w:val="single" w:sz="4" w:space="0" w:color="auto"/>
            </w:tcBorders>
          </w:tcPr>
          <w:p w14:paraId="34DC995D" w14:textId="2CF4808E"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di cui: garantite da ipoteche su beni immobili residenziali - IPRE</w:t>
            </w:r>
          </w:p>
          <w:p w14:paraId="0DF45C4E" w14:textId="519A758B"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lastRenderedPageBreak/>
              <w:t>Esposizioni garantite da immobili residenziali quali definiti all'articolo 4, paragrafo 1, punto 75 quinquies, del regolamento (UE) n. 575/2013 e che soddisfano anche la definizione di cui all'articolo 4, paragrafo 1, punto 75 ter, del regolamento (UE) n.</w:t>
            </w:r>
            <w:r w:rsidR="00181F07">
              <w:rPr>
                <w:rFonts w:ascii="Times New Roman" w:hAnsi="Times New Roman"/>
                <w:sz w:val="24"/>
              </w:rPr>
              <w:t> </w:t>
            </w:r>
            <w:r>
              <w:rPr>
                <w:rFonts w:ascii="Times New Roman" w:hAnsi="Times New Roman"/>
                <w:sz w:val="24"/>
              </w:rPr>
              <w:t>575/2013.</w:t>
            </w:r>
          </w:p>
        </w:tc>
      </w:tr>
      <w:tr w:rsidR="005E354B" w:rsidRPr="002A677E" w14:paraId="5DC7A17D" w14:textId="77777777" w:rsidTr="005E354B">
        <w:tc>
          <w:tcPr>
            <w:tcW w:w="1242" w:type="dxa"/>
            <w:tcBorders>
              <w:top w:val="single" w:sz="4" w:space="0" w:color="auto"/>
              <w:left w:val="single" w:sz="4" w:space="0" w:color="auto"/>
              <w:bottom w:val="single" w:sz="4" w:space="0" w:color="auto"/>
              <w:right w:val="single" w:sz="4" w:space="0" w:color="auto"/>
            </w:tcBorders>
          </w:tcPr>
          <w:p w14:paraId="136825E4" w14:textId="6693C4F7"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0019</w:t>
            </w:r>
          </w:p>
        </w:tc>
        <w:tc>
          <w:tcPr>
            <w:tcW w:w="8789" w:type="dxa"/>
            <w:tcBorders>
              <w:top w:val="single" w:sz="4" w:space="0" w:color="auto"/>
              <w:left w:val="single" w:sz="4" w:space="0" w:color="auto"/>
              <w:bottom w:val="single" w:sz="4" w:space="0" w:color="auto"/>
              <w:right w:val="single" w:sz="4" w:space="0" w:color="auto"/>
            </w:tcBorders>
          </w:tcPr>
          <w:p w14:paraId="1D825E97" w14:textId="77777777"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 xml:space="preserve">di cui: garantite da ipoteche su beni immobili non residenziali - non-IPRE </w:t>
            </w:r>
          </w:p>
          <w:p w14:paraId="46FFC8D0" w14:textId="5B552D79"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Esposizioni garantite da immobili non residenziali quali definiti all'articolo 4, paragrafo</w:t>
            </w:r>
            <w:r w:rsidR="00181F07">
              <w:rPr>
                <w:rFonts w:ascii="Times New Roman" w:hAnsi="Times New Roman"/>
                <w:sz w:val="24"/>
              </w:rPr>
              <w:t> </w:t>
            </w:r>
            <w:r>
              <w:rPr>
                <w:rFonts w:ascii="Times New Roman" w:hAnsi="Times New Roman"/>
                <w:sz w:val="24"/>
              </w:rPr>
              <w:t>1, punto 75 sexies, del regolamento (UE) n. 575/2013 e che soddisfano anche la definizione di cui all'articolo 4, paragrafo 1, punto 75 quater, del regolamento (UE) n. 575/2013.</w:t>
            </w:r>
          </w:p>
        </w:tc>
      </w:tr>
      <w:tr w:rsidR="005E354B" w:rsidRPr="002A677E" w14:paraId="5E0D933C" w14:textId="77777777" w:rsidTr="005E354B">
        <w:tc>
          <w:tcPr>
            <w:tcW w:w="1242" w:type="dxa"/>
            <w:tcBorders>
              <w:top w:val="single" w:sz="4" w:space="0" w:color="auto"/>
              <w:left w:val="single" w:sz="4" w:space="0" w:color="auto"/>
              <w:bottom w:val="single" w:sz="4" w:space="0" w:color="auto"/>
              <w:right w:val="single" w:sz="4" w:space="0" w:color="auto"/>
            </w:tcBorders>
          </w:tcPr>
          <w:p w14:paraId="4E8B0EA7" w14:textId="5DEB6BED"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0900</w:t>
            </w:r>
          </w:p>
        </w:tc>
        <w:tc>
          <w:tcPr>
            <w:tcW w:w="8789" w:type="dxa"/>
            <w:tcBorders>
              <w:top w:val="single" w:sz="4" w:space="0" w:color="auto"/>
              <w:left w:val="single" w:sz="4" w:space="0" w:color="auto"/>
              <w:bottom w:val="single" w:sz="4" w:space="0" w:color="auto"/>
              <w:right w:val="single" w:sz="4" w:space="0" w:color="auto"/>
            </w:tcBorders>
          </w:tcPr>
          <w:p w14:paraId="47BDF921" w14:textId="77777777" w:rsidR="005E354B"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di cui: garantite da ipoteche su beni immobili non residenziali - IPRE</w:t>
            </w:r>
          </w:p>
          <w:p w14:paraId="71978D1D" w14:textId="23009285"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Esposizioni garantite da immobili non residenziali quali definiti all'articolo 4, paragrafo</w:t>
            </w:r>
            <w:r w:rsidR="00181F07">
              <w:rPr>
                <w:rFonts w:ascii="Times New Roman" w:hAnsi="Times New Roman"/>
                <w:sz w:val="24"/>
              </w:rPr>
              <w:t> </w:t>
            </w:r>
            <w:r>
              <w:rPr>
                <w:rFonts w:ascii="Times New Roman" w:hAnsi="Times New Roman"/>
                <w:sz w:val="24"/>
              </w:rPr>
              <w:t>1, punto 75 sexies, del regolamento (UE) n. 575/2013 e che soddisfano anche la definizione di cui all'articolo 4, paragrafo 1, punto 75 ter, del regolamento (UE) n.</w:t>
            </w:r>
            <w:r w:rsidR="00181F07">
              <w:rPr>
                <w:rFonts w:ascii="Times New Roman" w:hAnsi="Times New Roman"/>
                <w:sz w:val="24"/>
              </w:rPr>
              <w:t> </w:t>
            </w:r>
            <w:r>
              <w:rPr>
                <w:rFonts w:ascii="Times New Roman" w:hAnsi="Times New Roman"/>
                <w:sz w:val="24"/>
              </w:rPr>
              <w:t>575/2013.</w:t>
            </w:r>
          </w:p>
        </w:tc>
      </w:tr>
      <w:tr w:rsidR="005E354B" w:rsidRPr="002A677E" w14:paraId="2106BE7A" w14:textId="77777777" w:rsidTr="005E354B">
        <w:tc>
          <w:tcPr>
            <w:tcW w:w="1242" w:type="dxa"/>
            <w:tcBorders>
              <w:top w:val="single" w:sz="4" w:space="0" w:color="auto"/>
              <w:left w:val="single" w:sz="4" w:space="0" w:color="auto"/>
              <w:bottom w:val="single" w:sz="4" w:space="0" w:color="auto"/>
              <w:right w:val="single" w:sz="4" w:space="0" w:color="auto"/>
            </w:tcBorders>
          </w:tcPr>
          <w:p w14:paraId="49D64ED2" w14:textId="58DFC3D7"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0910</w:t>
            </w:r>
          </w:p>
        </w:tc>
        <w:tc>
          <w:tcPr>
            <w:tcW w:w="8789" w:type="dxa"/>
            <w:tcBorders>
              <w:top w:val="single" w:sz="4" w:space="0" w:color="auto"/>
              <w:left w:val="single" w:sz="4" w:space="0" w:color="auto"/>
              <w:bottom w:val="single" w:sz="4" w:space="0" w:color="auto"/>
              <w:right w:val="single" w:sz="4" w:space="0" w:color="auto"/>
            </w:tcBorders>
          </w:tcPr>
          <w:p w14:paraId="3D9AA8F4" w14:textId="77777777"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di cui: acquisizione, sviluppo e costruzione (ADC)</w:t>
            </w:r>
          </w:p>
          <w:p w14:paraId="35087895" w14:textId="03A7A920"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Esposizioni per l'acquisizione, lo sviluppo e la costruzione di terreni ("esposizioni ADC") quali definite all'articolo 4, paragrafo 1, punto 78 bis), del regolamento (UE) n. 575/2013.</w:t>
            </w:r>
          </w:p>
        </w:tc>
      </w:tr>
      <w:tr w:rsidR="00FB3D09" w:rsidRPr="002A677E" w14:paraId="14B5922C" w14:textId="77777777" w:rsidTr="00822842">
        <w:tc>
          <w:tcPr>
            <w:tcW w:w="1242" w:type="dxa"/>
          </w:tcPr>
          <w:p w14:paraId="50BD9484" w14:textId="77777777" w:rsidR="00FB3D09" w:rsidRPr="002A677E" w:rsidRDefault="00FB3D09" w:rsidP="00822842">
            <w:pPr>
              <w:rPr>
                <w:rFonts w:ascii="Times New Roman" w:hAnsi="Times New Roman"/>
                <w:sz w:val="24"/>
              </w:rPr>
            </w:pPr>
            <w:r>
              <w:rPr>
                <w:rFonts w:ascii="Times New Roman" w:hAnsi="Times New Roman"/>
                <w:sz w:val="24"/>
              </w:rPr>
              <w:t>0020-0060</w:t>
            </w:r>
          </w:p>
        </w:tc>
        <w:tc>
          <w:tcPr>
            <w:tcW w:w="8789" w:type="dxa"/>
          </w:tcPr>
          <w:p w14:paraId="13F7639F" w14:textId="77777777" w:rsidR="00FB3D09" w:rsidRPr="00B7761D" w:rsidRDefault="00FB3D09" w:rsidP="00822842">
            <w:pPr>
              <w:rPr>
                <w:rFonts w:ascii="Times New Roman" w:hAnsi="Times New Roman"/>
                <w:b/>
                <w:sz w:val="24"/>
                <w:u w:val="single"/>
              </w:rPr>
            </w:pPr>
            <w:r>
              <w:rPr>
                <w:rFonts w:ascii="Times New Roman" w:hAnsi="Times New Roman"/>
                <w:b/>
                <w:sz w:val="24"/>
                <w:u w:val="single"/>
              </w:rPr>
              <w:t>RIPARTIZIONE DELLE ESPOSIZIONI TOTALI PER TIPO DI ESPOSIZIONE</w:t>
            </w:r>
          </w:p>
        </w:tc>
      </w:tr>
      <w:tr w:rsidR="00FB3D09" w:rsidRPr="002A677E" w14:paraId="709208F4" w14:textId="77777777" w:rsidTr="00822842">
        <w:tc>
          <w:tcPr>
            <w:tcW w:w="1242" w:type="dxa"/>
          </w:tcPr>
          <w:p w14:paraId="14B5596F"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789" w:type="dxa"/>
          </w:tcPr>
          <w:p w14:paraId="0C34BAB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Elementi in bilancio soggetti al rischio di credito </w:t>
            </w:r>
          </w:p>
          <w:p w14:paraId="5DEAB0BA" w14:textId="77777777" w:rsidR="00FB3D09" w:rsidRPr="002A677E" w:rsidRDefault="00FB3D09" w:rsidP="00822842">
            <w:pPr>
              <w:rPr>
                <w:rStyle w:val="InstructionsTabelleText"/>
                <w:rFonts w:ascii="Times New Roman" w:hAnsi="Times New Roman"/>
                <w:sz w:val="24"/>
              </w:rPr>
            </w:pPr>
            <w:r>
              <w:rPr>
                <w:rFonts w:ascii="Times New Roman" w:hAnsi="Times New Roman"/>
                <w:sz w:val="24"/>
              </w:rPr>
              <w:t>Le attività di cui all'articolo 24 del regolamento (UE) n. 575/2013 non sono comprese in nessun'altra categoria.</w:t>
            </w:r>
          </w:p>
          <w:p w14:paraId="0F8AB1A8"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Le esposizioni soggette al rischio di controparte sono segnalate nelle righe da 0040 a 0060 e pertanto non sono segnalate in questa riga.</w:t>
            </w:r>
          </w:p>
          <w:p w14:paraId="3D5E954A" w14:textId="180041B5" w:rsidR="00FB3D09" w:rsidRPr="002A677E" w:rsidRDefault="00FB3D09" w:rsidP="00822842">
            <w:pPr>
              <w:rPr>
                <w:rFonts w:ascii="Times New Roman" w:hAnsi="Times New Roman"/>
                <w:sz w:val="24"/>
              </w:rPr>
            </w:pPr>
            <w:r>
              <w:rPr>
                <w:rFonts w:ascii="Times New Roman" w:hAnsi="Times New Roman"/>
                <w:sz w:val="24"/>
              </w:rPr>
              <w:t>Le operazioni con regolamento non contestuale di cui all'articolo 379, paragrafo 1, del regolamento (UE) n. 575/2013 (se non dedotte) non costituiscono elementi in bilancio, ma sono comunque segnalate in questa riga.</w:t>
            </w:r>
          </w:p>
        </w:tc>
      </w:tr>
      <w:tr w:rsidR="00FB3D09" w:rsidRPr="002A677E" w14:paraId="3FC1F87B" w14:textId="77777777" w:rsidTr="00822842">
        <w:tc>
          <w:tcPr>
            <w:tcW w:w="1242" w:type="dxa"/>
          </w:tcPr>
          <w:p w14:paraId="2D6E6703"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789" w:type="dxa"/>
          </w:tcPr>
          <w:p w14:paraId="7F72A6F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Elementi fuori bilancio soggetti al rischio di credito</w:t>
            </w:r>
          </w:p>
          <w:p w14:paraId="6C7D545C" w14:textId="77777777" w:rsidR="00FB3D09" w:rsidRPr="002A677E" w:rsidRDefault="00FB3D09" w:rsidP="00822842">
            <w:pPr>
              <w:rPr>
                <w:rStyle w:val="InstructionsTabelleText"/>
                <w:rFonts w:ascii="Times New Roman" w:hAnsi="Times New Roman"/>
                <w:sz w:val="24"/>
              </w:rPr>
            </w:pPr>
            <w:r>
              <w:rPr>
                <w:rFonts w:ascii="Times New Roman" w:hAnsi="Times New Roman"/>
                <w:sz w:val="24"/>
              </w:rPr>
              <w:t>Gli elementi fuori bilancio comprendono gli elementi di cui all'articolo 166, paragrafo 8, del regolamento (UE) n. 575/2013, nonché gli elementi elencati nell'allegato I di tale regolamento.</w:t>
            </w:r>
          </w:p>
          <w:p w14:paraId="4AE7F57F" w14:textId="266D9AC7" w:rsidR="00FB3D09" w:rsidRPr="002A677E" w:rsidRDefault="00FB3D09" w:rsidP="00822842">
            <w:pPr>
              <w:rPr>
                <w:rFonts w:ascii="Times New Roman" w:hAnsi="Times New Roman"/>
                <w:sz w:val="24"/>
              </w:rPr>
            </w:pPr>
            <w:r>
              <w:rPr>
                <w:rStyle w:val="InstructionsTabelleText"/>
                <w:rFonts w:ascii="Times New Roman" w:hAnsi="Times New Roman"/>
                <w:sz w:val="24"/>
              </w:rPr>
              <w:t>Le esposizioni soggette al rischio di controparte sono segnalate nelle righe da 0040 a 0060 e pertanto non sono segnalate in questa riga.</w:t>
            </w:r>
          </w:p>
        </w:tc>
      </w:tr>
      <w:tr w:rsidR="00FB3D09" w:rsidRPr="002A677E" w14:paraId="6A82A5B3" w14:textId="77777777" w:rsidTr="00822842">
        <w:tc>
          <w:tcPr>
            <w:tcW w:w="1242" w:type="dxa"/>
          </w:tcPr>
          <w:p w14:paraId="0F665D61" w14:textId="77777777" w:rsidR="00FB3D09" w:rsidRPr="002A677E" w:rsidRDefault="00FB3D09" w:rsidP="00822842">
            <w:pPr>
              <w:rPr>
                <w:rFonts w:ascii="Times New Roman" w:hAnsi="Times New Roman"/>
                <w:sz w:val="24"/>
              </w:rPr>
            </w:pPr>
            <w:r>
              <w:rPr>
                <w:rStyle w:val="InstructionsTabelleText"/>
                <w:rFonts w:ascii="Times New Roman" w:hAnsi="Times New Roman"/>
                <w:sz w:val="24"/>
              </w:rPr>
              <w:t>0040-0060</w:t>
            </w:r>
          </w:p>
        </w:tc>
        <w:tc>
          <w:tcPr>
            <w:tcW w:w="8789" w:type="dxa"/>
          </w:tcPr>
          <w:p w14:paraId="65190BC8"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Esposizioni/Operazioni soggette al rischio di controparte</w:t>
            </w:r>
          </w:p>
          <w:p w14:paraId="0CE5E4AE" w14:textId="77777777" w:rsidR="00FB3D09" w:rsidRPr="002A677E" w:rsidRDefault="00FB3D09" w:rsidP="00822842">
            <w:pPr>
              <w:rPr>
                <w:rFonts w:ascii="Times New Roman" w:hAnsi="Times New Roman"/>
                <w:b/>
                <w:sz w:val="24"/>
                <w:u w:val="single"/>
              </w:rPr>
            </w:pPr>
            <w:r>
              <w:rPr>
                <w:rFonts w:ascii="Times New Roman" w:hAnsi="Times New Roman"/>
                <w:sz w:val="24"/>
              </w:rPr>
              <w:t>Cfr. le corrispondenti istruzioni per il modello CR SA nelle righe da 0090 a 0130.</w:t>
            </w:r>
          </w:p>
        </w:tc>
      </w:tr>
      <w:tr w:rsidR="00FB3D09" w:rsidRPr="002A677E" w14:paraId="4836D530" w14:textId="77777777" w:rsidTr="00822842">
        <w:tc>
          <w:tcPr>
            <w:tcW w:w="1242" w:type="dxa"/>
          </w:tcPr>
          <w:p w14:paraId="311BB09A"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789" w:type="dxa"/>
          </w:tcPr>
          <w:p w14:paraId="0E52BEFE"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Insiemi di attività soggette a compensazione contenenti operazioni di finanziamento tramite titoli</w:t>
            </w:r>
          </w:p>
          <w:p w14:paraId="1D8D13A1" w14:textId="4C7B9569" w:rsidR="00FB3D09" w:rsidRPr="002A677E" w:rsidRDefault="00FB3D09" w:rsidP="00822842">
            <w:pPr>
              <w:rPr>
                <w:rFonts w:ascii="Times New Roman" w:hAnsi="Times New Roman"/>
                <w:sz w:val="24"/>
              </w:rPr>
            </w:pPr>
            <w:r>
              <w:rPr>
                <w:rFonts w:ascii="Times New Roman" w:hAnsi="Times New Roman"/>
                <w:sz w:val="24"/>
              </w:rPr>
              <w:t>Cfr. le corrispondenti istruzioni per il modello CR SA alla riga 0090.</w:t>
            </w:r>
          </w:p>
        </w:tc>
      </w:tr>
      <w:tr w:rsidR="00FB3D09" w:rsidRPr="002A677E" w14:paraId="1E4C52D2" w14:textId="77777777" w:rsidTr="00822842">
        <w:tc>
          <w:tcPr>
            <w:tcW w:w="1242" w:type="dxa"/>
          </w:tcPr>
          <w:p w14:paraId="7A9D7A23" w14:textId="77777777" w:rsidR="00FB3D09" w:rsidRPr="002A677E" w:rsidRDefault="00FB3D09" w:rsidP="00822842">
            <w:pPr>
              <w:rPr>
                <w:rFonts w:ascii="Times New Roman" w:hAnsi="Times New Roman"/>
                <w:sz w:val="24"/>
              </w:rPr>
            </w:pPr>
            <w:r>
              <w:rPr>
                <w:rFonts w:ascii="Times New Roman" w:hAnsi="Times New Roman"/>
                <w:sz w:val="24"/>
              </w:rPr>
              <w:lastRenderedPageBreak/>
              <w:t>0050</w:t>
            </w:r>
          </w:p>
        </w:tc>
        <w:tc>
          <w:tcPr>
            <w:tcW w:w="8789" w:type="dxa"/>
          </w:tcPr>
          <w:p w14:paraId="0663798B"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Insiemi di attività soggette a compensazione contenenti derivati e operazioni con regolamento a lungo termine</w:t>
            </w:r>
          </w:p>
          <w:p w14:paraId="2C85A65F" w14:textId="5742CCE7" w:rsidR="00FB3D09" w:rsidRPr="002A677E" w:rsidRDefault="00FB3D09" w:rsidP="00822842">
            <w:pPr>
              <w:rPr>
                <w:rFonts w:ascii="Times New Roman" w:hAnsi="Times New Roman"/>
                <w:sz w:val="24"/>
              </w:rPr>
            </w:pPr>
            <w:r>
              <w:rPr>
                <w:rFonts w:ascii="Times New Roman" w:hAnsi="Times New Roman"/>
                <w:sz w:val="24"/>
              </w:rPr>
              <w:t>Cfr. le corrispondenti istruzioni per il modello CR SA alla riga 0110.</w:t>
            </w:r>
          </w:p>
        </w:tc>
      </w:tr>
      <w:tr w:rsidR="00FB3D09" w:rsidRPr="002A677E" w14:paraId="325075B4" w14:textId="77777777" w:rsidTr="00822842">
        <w:tc>
          <w:tcPr>
            <w:tcW w:w="1242" w:type="dxa"/>
          </w:tcPr>
          <w:p w14:paraId="711200A0"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789" w:type="dxa"/>
          </w:tcPr>
          <w:p w14:paraId="5AAEFF1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Da insiemi di attività soggette ad accordo di compensazione contrattuale tra prodotti differenti</w:t>
            </w:r>
          </w:p>
          <w:p w14:paraId="067E31FD" w14:textId="77777777" w:rsidR="00FB3D09" w:rsidRPr="002A677E" w:rsidRDefault="00FB3D09" w:rsidP="00822842">
            <w:pPr>
              <w:rPr>
                <w:rFonts w:ascii="Times New Roman" w:hAnsi="Times New Roman"/>
                <w:sz w:val="24"/>
              </w:rPr>
            </w:pPr>
            <w:r>
              <w:rPr>
                <w:rFonts w:ascii="Times New Roman" w:hAnsi="Times New Roman"/>
                <w:sz w:val="24"/>
              </w:rPr>
              <w:t>Cfr. le corrispondenti istruzioni per il modello CR SA alla riga 0130.</w:t>
            </w:r>
          </w:p>
        </w:tc>
      </w:tr>
      <w:tr w:rsidR="00FB3D09" w:rsidRPr="002A677E" w14:paraId="4497C028" w14:textId="77777777" w:rsidTr="00822842">
        <w:tc>
          <w:tcPr>
            <w:tcW w:w="1242" w:type="dxa"/>
          </w:tcPr>
          <w:p w14:paraId="53C0361C" w14:textId="77777777" w:rsidR="00FB3D09" w:rsidRPr="002A677E" w:rsidRDefault="00FB3D09" w:rsidP="00822842">
            <w:pPr>
              <w:rPr>
                <w:rFonts w:ascii="Times New Roman" w:hAnsi="Times New Roman"/>
                <w:sz w:val="24"/>
              </w:rPr>
            </w:pPr>
            <w:r>
              <w:rPr>
                <w:rFonts w:ascii="Times New Roman" w:hAnsi="Times New Roman"/>
                <w:sz w:val="24"/>
              </w:rPr>
              <w:t>0070</w:t>
            </w:r>
          </w:p>
        </w:tc>
        <w:tc>
          <w:tcPr>
            <w:tcW w:w="8789" w:type="dxa"/>
          </w:tcPr>
          <w:p w14:paraId="0FE8A119"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ESPOSIZIONI ASSEGNATE ALLA CLASSE O AL POOL DI DEBITORI: TOTALE</w:t>
            </w:r>
          </w:p>
          <w:p w14:paraId="6A78F626" w14:textId="2305DDF9" w:rsidR="00FB3D09" w:rsidRPr="002A677E" w:rsidRDefault="00FB3D09" w:rsidP="00822842">
            <w:pPr>
              <w:rPr>
                <w:rFonts w:ascii="Times New Roman" w:hAnsi="Times New Roman"/>
                <w:sz w:val="24"/>
              </w:rPr>
            </w:pPr>
            <w:r>
              <w:rPr>
                <w:rFonts w:ascii="Times New Roman" w:hAnsi="Times New Roman"/>
                <w:sz w:val="24"/>
              </w:rPr>
              <w:t>Per le esposizioni verso imprese, enti e amministrazioni centrali e banche centrali, cfr.</w:t>
            </w:r>
            <w:r w:rsidR="00181F07">
              <w:rPr>
                <w:rFonts w:ascii="Times New Roman" w:hAnsi="Times New Roman"/>
                <w:sz w:val="24"/>
              </w:rPr>
              <w:t> </w:t>
            </w:r>
            <w:r>
              <w:rPr>
                <w:rFonts w:ascii="Times New Roman" w:hAnsi="Times New Roman"/>
                <w:sz w:val="24"/>
              </w:rPr>
              <w:t xml:space="preserve">l’articolo 142, paragrafo 1, punto 6, e l’articolo 170, paragrafo 1, lettera c), del regolamento (UE) n. 575/2013. </w:t>
            </w:r>
          </w:p>
          <w:p w14:paraId="3D88073E" w14:textId="77777777" w:rsidR="00FB3D09" w:rsidRPr="002A677E" w:rsidRDefault="00FB3D09" w:rsidP="00822842">
            <w:pPr>
              <w:rPr>
                <w:rFonts w:ascii="Times New Roman" w:hAnsi="Times New Roman"/>
                <w:sz w:val="24"/>
              </w:rPr>
            </w:pPr>
            <w:r>
              <w:rPr>
                <w:rFonts w:ascii="Times New Roman" w:hAnsi="Times New Roman"/>
                <w:sz w:val="24"/>
              </w:rPr>
              <w:t xml:space="preserve">Per le esposizioni al dettaglio cfr. l’articolo 170, paragrafo 3, lettera b), del regolamento (UE) n. 575/2013. Per le esposizioni derivanti da crediti commerciali acquistati cfr. l'articolo 166, paragrafo 6, del regolamento (UE) n. 575/2013. </w:t>
            </w:r>
          </w:p>
          <w:p w14:paraId="268A9D88" w14:textId="77777777" w:rsidR="00FB3D09" w:rsidRPr="002A677E" w:rsidRDefault="00FB3D09" w:rsidP="00822842">
            <w:pPr>
              <w:rPr>
                <w:rFonts w:ascii="Times New Roman" w:hAnsi="Times New Roman"/>
                <w:sz w:val="24"/>
              </w:rPr>
            </w:pPr>
            <w:r>
              <w:rPr>
                <w:rFonts w:ascii="Times New Roman" w:hAnsi="Times New Roman"/>
                <w:sz w:val="24"/>
              </w:rPr>
              <w:t>Le esposizioni derivanti da rischi di diluizione di crediti commerciali acquistati non sono segnalate in base alle classi o ai pool di debitori e sono ricomprese nella riga 0180.</w:t>
            </w:r>
          </w:p>
          <w:p w14:paraId="2ECA333D" w14:textId="77777777" w:rsidR="00FB3D09" w:rsidRPr="002A677E" w:rsidRDefault="00FB3D09" w:rsidP="00822842">
            <w:pPr>
              <w:rPr>
                <w:rFonts w:ascii="Times New Roman" w:hAnsi="Times New Roman"/>
                <w:sz w:val="24"/>
              </w:rPr>
            </w:pPr>
            <w:r>
              <w:rPr>
                <w:rFonts w:ascii="Times New Roman" w:hAnsi="Times New Roman"/>
                <w:sz w:val="24"/>
              </w:rPr>
              <w:t xml:space="preserve">Se utilizza molte classi o molti pool, l'ente può concordare con le autorità competenti di ridurre il numero delle classi o dei pool da segnalare. </w:t>
            </w:r>
          </w:p>
          <w:p w14:paraId="1E1C73EB" w14:textId="77777777" w:rsidR="00FB3D09" w:rsidRPr="002A677E" w:rsidRDefault="00FB3D09" w:rsidP="00822842">
            <w:pPr>
              <w:rPr>
                <w:rFonts w:ascii="Times New Roman" w:hAnsi="Times New Roman"/>
                <w:sz w:val="24"/>
              </w:rPr>
            </w:pPr>
            <w:r>
              <w:rPr>
                <w:rFonts w:ascii="Times New Roman" w:hAnsi="Times New Roman"/>
                <w:sz w:val="24"/>
              </w:rPr>
              <w:t xml:space="preserve">Non è utilizzata una scala tipo di vigilanza. gli enti stabiliscono autonomamente la scala da utilizzare. </w:t>
            </w:r>
          </w:p>
        </w:tc>
      </w:tr>
      <w:tr w:rsidR="00FB3D09" w:rsidRPr="002A677E" w14:paraId="1A5B7F57" w14:textId="77777777" w:rsidTr="00822842">
        <w:tc>
          <w:tcPr>
            <w:tcW w:w="1242" w:type="dxa"/>
          </w:tcPr>
          <w:p w14:paraId="0CB3AACE" w14:textId="77777777" w:rsidR="00FB3D09" w:rsidRPr="002A677E" w:rsidRDefault="00FB3D09" w:rsidP="00822842">
            <w:pPr>
              <w:rPr>
                <w:rFonts w:ascii="Times New Roman" w:hAnsi="Times New Roman"/>
                <w:sz w:val="24"/>
              </w:rPr>
            </w:pPr>
            <w:r>
              <w:rPr>
                <w:rFonts w:ascii="Times New Roman" w:hAnsi="Times New Roman"/>
                <w:sz w:val="24"/>
              </w:rPr>
              <w:t>0080</w:t>
            </w:r>
          </w:p>
        </w:tc>
        <w:tc>
          <w:tcPr>
            <w:tcW w:w="8789" w:type="dxa"/>
          </w:tcPr>
          <w:p w14:paraId="63AC665E" w14:textId="77777777" w:rsidR="00FB3D09" w:rsidRPr="002A677E" w:rsidRDefault="00FB3D09" w:rsidP="00822842">
            <w:pPr>
              <w:rPr>
                <w:rFonts w:ascii="Times New Roman" w:hAnsi="Times New Roman"/>
                <w:sz w:val="24"/>
              </w:rPr>
            </w:pPr>
            <w:r>
              <w:rPr>
                <w:rFonts w:ascii="Times New Roman" w:hAnsi="Times New Roman"/>
                <w:b/>
                <w:sz w:val="24"/>
                <w:u w:val="single"/>
              </w:rPr>
              <w:t>METODO DI ASSEGNAZIONE DEI FINANZIAMENTI SPECIALIZZATI: TOTALE</w:t>
            </w:r>
          </w:p>
          <w:p w14:paraId="67E01391" w14:textId="77777777" w:rsidR="00FB3D09" w:rsidRPr="002A677E" w:rsidRDefault="00FB3D09" w:rsidP="00822842">
            <w:pPr>
              <w:rPr>
                <w:rFonts w:ascii="Times New Roman" w:hAnsi="Times New Roman"/>
                <w:sz w:val="24"/>
              </w:rPr>
            </w:pPr>
            <w:r>
              <w:rPr>
                <w:rFonts w:ascii="Times New Roman" w:hAnsi="Times New Roman"/>
                <w:sz w:val="24"/>
              </w:rPr>
              <w:t xml:space="preserve">Articolo 153, paragrafo 5, del regolamento (UE) n. 575/2013. Si applica solo alla classe di esposizioni - imprese - finanziamenti specializzati. </w:t>
            </w:r>
          </w:p>
        </w:tc>
      </w:tr>
      <w:tr w:rsidR="00FB3D09" w:rsidRPr="002A677E" w14:paraId="56D99296" w14:textId="77777777" w:rsidTr="00822842">
        <w:tc>
          <w:tcPr>
            <w:tcW w:w="1242" w:type="dxa"/>
          </w:tcPr>
          <w:p w14:paraId="4330E208" w14:textId="77777777" w:rsidR="00FB3D09" w:rsidRPr="002A677E" w:rsidRDefault="00FB3D09" w:rsidP="00822842">
            <w:pPr>
              <w:rPr>
                <w:rFonts w:ascii="Times New Roman" w:hAnsi="Times New Roman"/>
                <w:sz w:val="24"/>
              </w:rPr>
            </w:pPr>
            <w:r>
              <w:rPr>
                <w:rFonts w:ascii="Times New Roman" w:hAnsi="Times New Roman"/>
                <w:sz w:val="24"/>
              </w:rPr>
              <w:t>0160</w:t>
            </w:r>
          </w:p>
        </w:tc>
        <w:tc>
          <w:tcPr>
            <w:tcW w:w="8789" w:type="dxa"/>
          </w:tcPr>
          <w:p w14:paraId="455C13F0"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TRATTAMENTO ALTERNATIVO: GARANTITE DA BENI IMMOBILI</w:t>
            </w:r>
          </w:p>
          <w:p w14:paraId="7875BF84" w14:textId="77777777" w:rsidR="00FB3D09" w:rsidRPr="002A677E" w:rsidRDefault="00FB3D09" w:rsidP="00822842">
            <w:pPr>
              <w:rPr>
                <w:rFonts w:ascii="Times New Roman" w:hAnsi="Times New Roman"/>
                <w:sz w:val="24"/>
              </w:rPr>
            </w:pPr>
            <w:r>
              <w:rPr>
                <w:rFonts w:ascii="Times New Roman" w:hAnsi="Times New Roman"/>
                <w:sz w:val="24"/>
              </w:rPr>
              <w:t>Articolo 193, paragrafi 1 e 2, articolo 194, paragrafi da 1 a 7, e articolo 230, paragrafo 3, del regolamento (UE) n. 575/2013.</w:t>
            </w:r>
          </w:p>
          <w:p w14:paraId="58412948" w14:textId="77777777" w:rsidR="00FB3D09" w:rsidRPr="002A677E" w:rsidRDefault="00FB3D09" w:rsidP="00822842">
            <w:pPr>
              <w:rPr>
                <w:rFonts w:ascii="Times New Roman" w:hAnsi="Times New Roman"/>
                <w:sz w:val="24"/>
              </w:rPr>
            </w:pPr>
            <w:r>
              <w:rPr>
                <w:rFonts w:ascii="Times New Roman" w:hAnsi="Times New Roman"/>
                <w:sz w:val="24"/>
              </w:rPr>
              <w:t>Questa alternativa è disponibile solo per gli enti che utilizzano il metodo IRB di base.</w:t>
            </w:r>
          </w:p>
        </w:tc>
      </w:tr>
      <w:tr w:rsidR="00FB3D09" w:rsidRPr="002A677E" w14:paraId="65DA4F0E" w14:textId="77777777" w:rsidTr="00822842">
        <w:tc>
          <w:tcPr>
            <w:tcW w:w="1242" w:type="dxa"/>
          </w:tcPr>
          <w:p w14:paraId="73D95FC1" w14:textId="77777777" w:rsidR="00FB3D09" w:rsidRPr="002A677E" w:rsidRDefault="00FB3D09" w:rsidP="00822842">
            <w:pPr>
              <w:rPr>
                <w:rFonts w:ascii="Times New Roman" w:hAnsi="Times New Roman"/>
                <w:sz w:val="24"/>
              </w:rPr>
            </w:pPr>
            <w:r>
              <w:rPr>
                <w:rFonts w:ascii="Times New Roman" w:hAnsi="Times New Roman"/>
                <w:sz w:val="24"/>
              </w:rPr>
              <w:t>0170</w:t>
            </w:r>
          </w:p>
        </w:tc>
        <w:tc>
          <w:tcPr>
            <w:tcW w:w="8789" w:type="dxa"/>
          </w:tcPr>
          <w:p w14:paraId="753B5217"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ESPOSIZIONI DERIVANTI DA OPERAZIONI CON REGOLAMENTO NON CONTESTUALE CON APPLICAZIONE DI FATTORI DI PONDERAZIONE DEL RISCHIO NELL'AMBITO DEL TRATTAMENTO ALTERNATIVO O DEL 100% E ALTRE ESPOSIZIONI SOGGETTE A FATTORI DI PONDERAZIONE DEL RISCHIO</w:t>
            </w:r>
          </w:p>
          <w:p w14:paraId="7FC93A9B" w14:textId="77777777" w:rsidR="00FB3D09" w:rsidRPr="002A677E" w:rsidRDefault="00FB3D09" w:rsidP="00822842">
            <w:pPr>
              <w:rPr>
                <w:rFonts w:ascii="Times New Roman" w:hAnsi="Times New Roman"/>
                <w:sz w:val="24"/>
              </w:rPr>
            </w:pPr>
            <w:r>
              <w:rPr>
                <w:rFonts w:ascii="Times New Roman" w:hAnsi="Times New Roman"/>
                <w:sz w:val="24"/>
              </w:rPr>
              <w:t>Esposizioni derivanti da operazioni con regolamento non contestuale per le quali si utilizza il trattamento alternativo di</w:t>
            </w:r>
            <w:r>
              <w:t xml:space="preserve"> </w:t>
            </w:r>
            <w:r>
              <w:rPr>
                <w:rFonts w:ascii="Times New Roman" w:hAnsi="Times New Roman"/>
                <w:sz w:val="24"/>
              </w:rPr>
              <w:t>cui all'articolo 379, paragrafo 2, primo comma, ultima frase, del regolamento (UE) n. 575/2013 o alle quali si applica una ponderazione del rischio pari al 100 % conformemente all'articolo 379, paragrafo 2, ultimo comma, del regolamento (UE) n. 575/2013</w:t>
            </w:r>
            <w:r>
              <w:t>.</w:t>
            </w:r>
            <w:r>
              <w:rPr>
                <w:rFonts w:ascii="Times New Roman" w:hAnsi="Times New Roman"/>
                <w:sz w:val="24"/>
              </w:rPr>
              <w:t xml:space="preserve"> In questa riga sono segnalati i derivati su crediti nth-to-default privi di rating conformemente all'articolo 153, paragrafo 8, del regolamento (UE) n. 575/2013 e qualsiasi altra esposizione soggetta a ponderazione del rischio non compresa in altra riga.</w:t>
            </w:r>
          </w:p>
        </w:tc>
      </w:tr>
      <w:tr w:rsidR="00FB3D09" w:rsidRPr="002A677E" w14:paraId="645730D7" w14:textId="77777777" w:rsidTr="00822842">
        <w:tc>
          <w:tcPr>
            <w:tcW w:w="1242" w:type="dxa"/>
          </w:tcPr>
          <w:p w14:paraId="0317CAF2" w14:textId="77777777" w:rsidR="00FB3D09" w:rsidRPr="002A677E" w:rsidRDefault="00FB3D09" w:rsidP="00822842">
            <w:pPr>
              <w:rPr>
                <w:rFonts w:ascii="Times New Roman" w:hAnsi="Times New Roman"/>
                <w:sz w:val="24"/>
              </w:rPr>
            </w:pPr>
            <w:r>
              <w:rPr>
                <w:rFonts w:ascii="Times New Roman" w:hAnsi="Times New Roman"/>
                <w:sz w:val="24"/>
              </w:rPr>
              <w:lastRenderedPageBreak/>
              <w:t>0180</w:t>
            </w:r>
          </w:p>
        </w:tc>
        <w:tc>
          <w:tcPr>
            <w:tcW w:w="8789" w:type="dxa"/>
          </w:tcPr>
          <w:p w14:paraId="42D146E2"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RISCHIO DI DILUIZIONE: CREDITI COMMERCIALI ACQUISTATI TOTALI</w:t>
            </w:r>
          </w:p>
          <w:p w14:paraId="1ADE7C67" w14:textId="5F3B1E00" w:rsidR="00FB3D09" w:rsidRPr="002A677E" w:rsidRDefault="00FB3D09" w:rsidP="00822842">
            <w:pPr>
              <w:rPr>
                <w:rFonts w:ascii="Times New Roman" w:hAnsi="Times New Roman"/>
                <w:sz w:val="24"/>
              </w:rPr>
            </w:pPr>
            <w:r>
              <w:rPr>
                <w:rFonts w:ascii="Times New Roman" w:hAnsi="Times New Roman"/>
                <w:sz w:val="24"/>
              </w:rPr>
              <w:t>Cfr. l'articolo 4, paragrafo 1, punto 53, del regolamento (UE) n. 575/2013 per la definizione del rischio di diluizione. Per il calcolo degli importi delle esposizioni ponderati per il rischio di diluizione, cfr. l'articolo 157 del regolamento (UE) n. 575/2013. Il rischio di diluizione è segnalato per i crediti commerciali acquistati verso imprese e al dettaglio.</w:t>
            </w:r>
          </w:p>
        </w:tc>
      </w:tr>
      <w:tr w:rsidR="00FB3D09" w:rsidRPr="002A677E" w14:paraId="2103336C" w14:textId="77777777" w:rsidTr="00822842">
        <w:trPr>
          <w:trHeight w:val="300"/>
        </w:trPr>
        <w:tc>
          <w:tcPr>
            <w:tcW w:w="1242" w:type="dxa"/>
          </w:tcPr>
          <w:p w14:paraId="7FF9957F" w14:textId="06F9FE7A" w:rsidR="00FB3D09" w:rsidRPr="00B75318" w:rsidRDefault="00FB3D09" w:rsidP="00822842">
            <w:pPr>
              <w:rPr>
                <w:rFonts w:ascii="Times New Roman" w:hAnsi="Times New Roman"/>
                <w:sz w:val="24"/>
              </w:rPr>
            </w:pPr>
            <w:r>
              <w:rPr>
                <w:rFonts w:ascii="Times New Roman" w:hAnsi="Times New Roman"/>
                <w:sz w:val="24"/>
              </w:rPr>
              <w:t>0190-0210</w:t>
            </w:r>
          </w:p>
        </w:tc>
        <w:tc>
          <w:tcPr>
            <w:tcW w:w="8789" w:type="dxa"/>
          </w:tcPr>
          <w:p w14:paraId="24E930D5" w14:textId="57FAC10C" w:rsidR="00FB3D09" w:rsidRPr="00B75318" w:rsidRDefault="00FB3D09" w:rsidP="00822842">
            <w:pPr>
              <w:rPr>
                <w:rFonts w:ascii="Times New Roman" w:hAnsi="Times New Roman"/>
                <w:b/>
                <w:bCs/>
                <w:sz w:val="24"/>
                <w:u w:val="single"/>
              </w:rPr>
            </w:pPr>
            <w:r>
              <w:rPr>
                <w:rFonts w:ascii="Times New Roman" w:hAnsi="Times New Roman"/>
                <w:b/>
                <w:sz w:val="24"/>
                <w:u w:val="single"/>
              </w:rPr>
              <w:t>RIPARTIZIONE DELLE ESPOSIZIONI TOTALI IN BASE AL METODO (OIC):</w:t>
            </w:r>
          </w:p>
        </w:tc>
      </w:tr>
      <w:tr w:rsidR="00FB3D09" w:rsidRPr="002A677E" w14:paraId="62E31418" w14:textId="77777777" w:rsidTr="00822842">
        <w:trPr>
          <w:trHeight w:val="300"/>
        </w:trPr>
        <w:tc>
          <w:tcPr>
            <w:tcW w:w="1242" w:type="dxa"/>
          </w:tcPr>
          <w:p w14:paraId="12D87A1F" w14:textId="77777777" w:rsidR="00FB3D09" w:rsidRPr="00B75318" w:rsidRDefault="00FB3D09" w:rsidP="00822842">
            <w:pPr>
              <w:rPr>
                <w:rFonts w:ascii="Times New Roman" w:hAnsi="Times New Roman"/>
                <w:sz w:val="24"/>
              </w:rPr>
            </w:pPr>
            <w:r>
              <w:rPr>
                <w:rFonts w:ascii="Times New Roman" w:hAnsi="Times New Roman"/>
                <w:sz w:val="24"/>
              </w:rPr>
              <w:t>0190</w:t>
            </w:r>
          </w:p>
        </w:tc>
        <w:tc>
          <w:tcPr>
            <w:tcW w:w="8789" w:type="dxa"/>
          </w:tcPr>
          <w:p w14:paraId="15D1C078" w14:textId="3090FC4B" w:rsidR="00FB3D09" w:rsidRPr="00B75318" w:rsidRDefault="00FB3D09" w:rsidP="00822842">
            <w:pPr>
              <w:rPr>
                <w:rStyle w:val="InstructionsTabelleberschrift"/>
                <w:rFonts w:ascii="Times New Roman" w:hAnsi="Times New Roman"/>
                <w:sz w:val="24"/>
              </w:rPr>
            </w:pPr>
            <w:r>
              <w:rPr>
                <w:rFonts w:ascii="Times New Roman" w:hAnsi="Times New Roman"/>
                <w:b/>
                <w:sz w:val="24"/>
                <w:u w:val="single"/>
              </w:rPr>
              <w:t>Metodo look-through</w:t>
            </w:r>
          </w:p>
          <w:p w14:paraId="2AD180D4" w14:textId="3719286C" w:rsidR="00FB3D09" w:rsidRPr="00B75318" w:rsidRDefault="00FB3D09" w:rsidP="00822842">
            <w:pPr>
              <w:spacing w:after="160" w:line="257" w:lineRule="auto"/>
              <w:rPr>
                <w:rFonts w:ascii="Times New Roman" w:eastAsia="Calibri" w:hAnsi="Times New Roman"/>
                <w:color w:val="000000" w:themeColor="text1"/>
                <w:sz w:val="24"/>
              </w:rPr>
            </w:pPr>
            <w:r>
              <w:rPr>
                <w:rFonts w:ascii="Times New Roman" w:hAnsi="Times New Roman"/>
                <w:color w:val="000000" w:themeColor="text1"/>
                <w:sz w:val="24"/>
              </w:rPr>
              <w:t>Articolo 152, paragrafo 1, del regolamento (UE) n. 575/2013</w:t>
            </w:r>
          </w:p>
          <w:p w14:paraId="42481890" w14:textId="79FAD87D" w:rsidR="00FB3D09" w:rsidRPr="00B75318" w:rsidRDefault="00FB3D09" w:rsidP="00822842">
            <w:pPr>
              <w:rPr>
                <w:rFonts w:ascii="Times New Roman" w:hAnsi="Times New Roman"/>
                <w:sz w:val="24"/>
              </w:rPr>
            </w:pPr>
            <w:r>
              <w:rPr>
                <w:rFonts w:ascii="Times New Roman" w:hAnsi="Times New Roman"/>
                <w:sz w:val="24"/>
              </w:rPr>
              <w:t>Questa riga è compilata per la classe di esposizioni "organismi di investimento collettivo (OIC)" e per il foglio "Totale". Inoltre è segnalato come voce per memoria nelle altre classi di esposizioni secondo il metodo IRB, in quanto le esposizioni sottostanti sono classificate secondo la corrispondente classe di esposizioni se è utilizzato un metodo IRB.</w:t>
            </w:r>
          </w:p>
        </w:tc>
      </w:tr>
      <w:tr w:rsidR="00FB3D09" w:rsidRPr="002A677E" w14:paraId="66E7EEA8" w14:textId="77777777" w:rsidTr="00822842">
        <w:trPr>
          <w:trHeight w:val="300"/>
        </w:trPr>
        <w:tc>
          <w:tcPr>
            <w:tcW w:w="1242" w:type="dxa"/>
          </w:tcPr>
          <w:p w14:paraId="3C86B702" w14:textId="77777777" w:rsidR="00FB3D09" w:rsidRPr="00B75318" w:rsidRDefault="00FB3D09" w:rsidP="00822842">
            <w:pPr>
              <w:rPr>
                <w:rFonts w:ascii="Times New Roman" w:hAnsi="Times New Roman"/>
                <w:sz w:val="24"/>
              </w:rPr>
            </w:pPr>
            <w:r>
              <w:rPr>
                <w:rFonts w:ascii="Times New Roman" w:hAnsi="Times New Roman"/>
                <w:sz w:val="24"/>
              </w:rPr>
              <w:t>0200</w:t>
            </w:r>
          </w:p>
        </w:tc>
        <w:tc>
          <w:tcPr>
            <w:tcW w:w="8789" w:type="dxa"/>
          </w:tcPr>
          <w:p w14:paraId="17279CD9" w14:textId="57707F46" w:rsidR="00FB3D09" w:rsidRPr="00B75318" w:rsidRDefault="00FB3D09" w:rsidP="00822842">
            <w:pPr>
              <w:rPr>
                <w:rStyle w:val="InstructionsTabelleberschrift"/>
                <w:rFonts w:ascii="Times New Roman" w:hAnsi="Times New Roman"/>
                <w:sz w:val="24"/>
              </w:rPr>
            </w:pPr>
            <w:r>
              <w:rPr>
                <w:rFonts w:ascii="Times New Roman" w:hAnsi="Times New Roman"/>
                <w:b/>
                <w:sz w:val="24"/>
                <w:u w:val="single"/>
              </w:rPr>
              <w:t>Metodo basato sul regolamento di gestione</w:t>
            </w:r>
          </w:p>
          <w:p w14:paraId="65B8F17E" w14:textId="77777777" w:rsidR="00FB3D09" w:rsidRPr="00B75318" w:rsidRDefault="00FB3D09" w:rsidP="00822842">
            <w:pPr>
              <w:spacing w:after="160" w:line="257" w:lineRule="auto"/>
              <w:rPr>
                <w:rFonts w:ascii="Times New Roman" w:eastAsia="Calibri" w:hAnsi="Times New Roman"/>
                <w:color w:val="000000" w:themeColor="text1"/>
                <w:sz w:val="24"/>
              </w:rPr>
            </w:pPr>
            <w:r>
              <w:rPr>
                <w:rFonts w:ascii="Times New Roman" w:hAnsi="Times New Roman"/>
                <w:color w:val="000000" w:themeColor="text1"/>
                <w:sz w:val="24"/>
              </w:rPr>
              <w:t>Articolo 152, paragrafo 5, del regolamento (UE) n. 575/2013</w:t>
            </w:r>
          </w:p>
          <w:p w14:paraId="0315659D" w14:textId="271145EC" w:rsidR="00FB3D09" w:rsidRPr="00B75318" w:rsidRDefault="00FB3D09" w:rsidP="00822842">
            <w:pPr>
              <w:rPr>
                <w:rFonts w:ascii="Times New Roman" w:hAnsi="Times New Roman"/>
                <w:sz w:val="24"/>
              </w:rPr>
            </w:pPr>
            <w:r>
              <w:rPr>
                <w:rFonts w:ascii="Times New Roman" w:hAnsi="Times New Roman"/>
                <w:sz w:val="24"/>
              </w:rPr>
              <w:t>Questa riga è compilata solo per la classe di esposizioni "Organismi di investimento collettivo (OIC)" e per il "Totale".</w:t>
            </w:r>
          </w:p>
        </w:tc>
      </w:tr>
      <w:tr w:rsidR="00FB3D09" w:rsidRPr="002A677E" w14:paraId="1E5A599B" w14:textId="77777777" w:rsidTr="00822842">
        <w:trPr>
          <w:trHeight w:val="300"/>
        </w:trPr>
        <w:tc>
          <w:tcPr>
            <w:tcW w:w="1242" w:type="dxa"/>
          </w:tcPr>
          <w:p w14:paraId="6ABB8CD4" w14:textId="77777777" w:rsidR="00FB3D09" w:rsidRPr="00B75318" w:rsidRDefault="00FB3D09" w:rsidP="00822842">
            <w:pPr>
              <w:rPr>
                <w:rFonts w:ascii="Times New Roman" w:hAnsi="Times New Roman"/>
                <w:sz w:val="24"/>
              </w:rPr>
            </w:pPr>
            <w:r>
              <w:rPr>
                <w:rFonts w:ascii="Times New Roman" w:hAnsi="Times New Roman"/>
                <w:sz w:val="24"/>
              </w:rPr>
              <w:t>0210</w:t>
            </w:r>
          </w:p>
        </w:tc>
        <w:tc>
          <w:tcPr>
            <w:tcW w:w="8789" w:type="dxa"/>
          </w:tcPr>
          <w:p w14:paraId="3816A424" w14:textId="13F62D85" w:rsidR="00FB3D09" w:rsidRPr="00B75318" w:rsidRDefault="00FB3D09" w:rsidP="00822842">
            <w:pPr>
              <w:rPr>
                <w:rStyle w:val="InstructionsTabelleberschrift"/>
                <w:rFonts w:ascii="Times New Roman" w:hAnsi="Times New Roman"/>
                <w:sz w:val="24"/>
              </w:rPr>
            </w:pPr>
            <w:r>
              <w:rPr>
                <w:rFonts w:ascii="Times New Roman" w:hAnsi="Times New Roman"/>
                <w:b/>
                <w:sz w:val="24"/>
                <w:u w:val="single"/>
              </w:rPr>
              <w:t>Metodo fall-back</w:t>
            </w:r>
          </w:p>
          <w:p w14:paraId="57A3CDF9" w14:textId="77777777" w:rsidR="00FB3D09" w:rsidRPr="00B75318" w:rsidRDefault="00FB3D09" w:rsidP="00822842">
            <w:pPr>
              <w:spacing w:after="160" w:line="257" w:lineRule="auto"/>
              <w:rPr>
                <w:rFonts w:ascii="Times New Roman" w:eastAsia="Calibri" w:hAnsi="Times New Roman"/>
                <w:color w:val="000000" w:themeColor="text1"/>
                <w:sz w:val="24"/>
              </w:rPr>
            </w:pPr>
            <w:r>
              <w:rPr>
                <w:rFonts w:ascii="Times New Roman" w:hAnsi="Times New Roman"/>
                <w:color w:val="000000" w:themeColor="text1"/>
                <w:sz w:val="24"/>
              </w:rPr>
              <w:t>Articolo 152, paragrafo 6, del regolamento (UE) n. 575/2013</w:t>
            </w:r>
          </w:p>
          <w:p w14:paraId="42219B94" w14:textId="77777777" w:rsidR="00FB3D09" w:rsidRPr="00B75318" w:rsidRDefault="00FB3D09" w:rsidP="00822842">
            <w:pPr>
              <w:rPr>
                <w:rFonts w:ascii="Times New Roman" w:hAnsi="Times New Roman"/>
                <w:sz w:val="24"/>
              </w:rPr>
            </w:pPr>
            <w:r>
              <w:rPr>
                <w:rFonts w:ascii="Times New Roman" w:hAnsi="Times New Roman"/>
                <w:sz w:val="24"/>
              </w:rPr>
              <w:t>Questa riga è compilata solo per la classe di esposizioni "Organismi di investimento collettivo (OIC)" e per il "Totale".</w:t>
            </w:r>
          </w:p>
        </w:tc>
      </w:tr>
    </w:tbl>
    <w:p w14:paraId="0B2C44D0" w14:textId="77777777" w:rsidR="00FB3D09" w:rsidRPr="002A677E" w:rsidRDefault="00FB3D09" w:rsidP="00FB3D09">
      <w:pPr>
        <w:autoSpaceDE w:val="0"/>
        <w:autoSpaceDN w:val="0"/>
        <w:adjustRightInd w:val="0"/>
        <w:spacing w:before="0" w:after="0"/>
        <w:ind w:left="284"/>
        <w:jc w:val="left"/>
        <w:rPr>
          <w:rFonts w:ascii="Times New Roman" w:hAnsi="Times New Roman"/>
          <w:sz w:val="24"/>
        </w:rPr>
      </w:pPr>
      <w:bookmarkStart w:id="21" w:name="_Toc120327823"/>
      <w:bookmarkStart w:id="22" w:name="_Toc120072325"/>
      <w:bookmarkStart w:id="23" w:name="_Toc294280272"/>
      <w:bookmarkStart w:id="24" w:name="_Toc294281597"/>
      <w:bookmarkStart w:id="25" w:name="_Toc294281817"/>
      <w:bookmarkStart w:id="26" w:name="_Toc294282031"/>
      <w:bookmarkStart w:id="27" w:name="_Toc294282234"/>
      <w:bookmarkStart w:id="28" w:name="_Toc294714169"/>
      <w:bookmarkStart w:id="29" w:name="_Toc295314195"/>
      <w:bookmarkStart w:id="30" w:name="_Toc295829584"/>
      <w:bookmarkStart w:id="31" w:name="_Toc295829867"/>
      <w:bookmarkStart w:id="32" w:name="_Toc301772755"/>
      <w:bookmarkStart w:id="33" w:name="_Toc301772833"/>
      <w:bookmarkStart w:id="34" w:name="_Toc302657772"/>
      <w:bookmarkStart w:id="35" w:name="_Toc302657891"/>
      <w:bookmarkStart w:id="36" w:name="_Toc294280294"/>
      <w:bookmarkStart w:id="37" w:name="_Toc294281619"/>
      <w:bookmarkStart w:id="38" w:name="_Toc294281839"/>
      <w:bookmarkStart w:id="39" w:name="_Toc294282053"/>
      <w:bookmarkStart w:id="40" w:name="_Toc294282256"/>
      <w:bookmarkStart w:id="41" w:name="_Toc294714191"/>
      <w:bookmarkStart w:id="42" w:name="_Toc295314217"/>
      <w:bookmarkStart w:id="43" w:name="_Toc295829606"/>
      <w:bookmarkStart w:id="44" w:name="_Toc295829889"/>
      <w:bookmarkStart w:id="45" w:name="_Toc301772777"/>
      <w:bookmarkStart w:id="46" w:name="_Toc301772855"/>
      <w:bookmarkStart w:id="47" w:name="_Toc302657794"/>
      <w:bookmarkStart w:id="48" w:name="_Toc302657913"/>
      <w:bookmarkStart w:id="49" w:name="_Toc294280312"/>
      <w:bookmarkStart w:id="50" w:name="_Toc294281637"/>
      <w:bookmarkStart w:id="51" w:name="_Toc294281857"/>
      <w:bookmarkStart w:id="52" w:name="_Toc294282071"/>
      <w:bookmarkStart w:id="53" w:name="_Toc294282274"/>
      <w:bookmarkStart w:id="54" w:name="_Toc294714209"/>
      <w:bookmarkStart w:id="55" w:name="_Toc295314235"/>
      <w:bookmarkStart w:id="56" w:name="_Toc295829624"/>
      <w:bookmarkStart w:id="57" w:name="_Toc295829907"/>
      <w:bookmarkStart w:id="58" w:name="_Toc301772795"/>
      <w:bookmarkStart w:id="59" w:name="_Toc301772873"/>
      <w:bookmarkStart w:id="60" w:name="_Toc302657812"/>
      <w:bookmarkStart w:id="61" w:name="_Toc302657931"/>
      <w:bookmarkStart w:id="62" w:name="_Toc294280316"/>
      <w:bookmarkStart w:id="63" w:name="_Toc294281641"/>
      <w:bookmarkStart w:id="64" w:name="_Toc294281861"/>
      <w:bookmarkStart w:id="65" w:name="_Toc294282075"/>
      <w:bookmarkStart w:id="66" w:name="_Toc294282278"/>
      <w:bookmarkStart w:id="67" w:name="_Toc294714213"/>
      <w:bookmarkStart w:id="68" w:name="_Toc295314239"/>
      <w:bookmarkStart w:id="69" w:name="_Toc295829628"/>
      <w:bookmarkStart w:id="70" w:name="_Toc295829911"/>
      <w:bookmarkStart w:id="71" w:name="_Toc301772799"/>
      <w:bookmarkStart w:id="72" w:name="_Toc301772877"/>
      <w:bookmarkStart w:id="73" w:name="_Toc302657816"/>
      <w:bookmarkStart w:id="74" w:name="_Toc302657935"/>
      <w:bookmarkStart w:id="75" w:name="_Toc294280319"/>
      <w:bookmarkStart w:id="76" w:name="_Toc294281644"/>
      <w:bookmarkStart w:id="77" w:name="_Toc294281864"/>
      <w:bookmarkStart w:id="78" w:name="_Toc294282078"/>
      <w:bookmarkStart w:id="79" w:name="_Toc294282281"/>
      <w:bookmarkStart w:id="80" w:name="_Toc294714216"/>
      <w:bookmarkStart w:id="81" w:name="_Toc295314242"/>
      <w:bookmarkStart w:id="82" w:name="_Toc295829631"/>
      <w:bookmarkStart w:id="83" w:name="_Toc295829914"/>
      <w:bookmarkStart w:id="84" w:name="_Toc301772802"/>
      <w:bookmarkStart w:id="85" w:name="_Toc301772880"/>
      <w:bookmarkStart w:id="86" w:name="_Toc302657819"/>
      <w:bookmarkStart w:id="87" w:name="_Toc302657938"/>
      <w:bookmarkStart w:id="88" w:name="_Toc294280322"/>
      <w:bookmarkStart w:id="89" w:name="_Toc294281647"/>
      <w:bookmarkStart w:id="90" w:name="_Toc294281867"/>
      <w:bookmarkStart w:id="91" w:name="_Toc294282081"/>
      <w:bookmarkStart w:id="92" w:name="_Toc294282284"/>
      <w:bookmarkStart w:id="93" w:name="_Toc294714219"/>
      <w:bookmarkStart w:id="94" w:name="_Toc295314245"/>
      <w:bookmarkStart w:id="95" w:name="_Toc295829634"/>
      <w:bookmarkStart w:id="96" w:name="_Toc295829917"/>
      <w:bookmarkStart w:id="97" w:name="_Toc301772805"/>
      <w:bookmarkStart w:id="98" w:name="_Toc301772883"/>
      <w:bookmarkStart w:id="99" w:name="_Toc302657822"/>
      <w:bookmarkStart w:id="100" w:name="_Toc302657941"/>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3C588733" w14:textId="77777777" w:rsidR="00FB3D09" w:rsidRPr="002A677E" w:rsidRDefault="00FB3D09" w:rsidP="00FB3D09">
      <w:pPr>
        <w:pStyle w:val="Instructionsberschrift2"/>
        <w:numPr>
          <w:ilvl w:val="0"/>
          <w:numId w:val="0"/>
        </w:numPr>
        <w:ind w:left="357" w:hanging="357"/>
        <w:rPr>
          <w:rFonts w:ascii="Times New Roman" w:hAnsi="Times New Roman" w:cs="Times New Roman"/>
          <w:sz w:val="24"/>
        </w:rPr>
      </w:pPr>
      <w:bookmarkStart w:id="101" w:name="_Toc473560911"/>
      <w:bookmarkStart w:id="102" w:name="_Toc151714398"/>
      <w:r>
        <w:rPr>
          <w:rFonts w:ascii="Times New Roman" w:hAnsi="Times New Roman"/>
          <w:sz w:val="24"/>
          <w:u w:val="none"/>
        </w:rPr>
        <w:t>3.3.4.</w:t>
      </w:r>
      <w:r>
        <w:tab/>
      </w:r>
      <w:r>
        <w:rPr>
          <w:rFonts w:ascii="Times New Roman" w:hAnsi="Times New Roman"/>
          <w:sz w:val="24"/>
        </w:rPr>
        <w:t>C 08.02 — Rischio di credito e rischio di controparte e operazioni con regolamento non contestuale: metodo IRB applicato ai requisiti patrimoniali - ripartizione per classe o pool di debitori (modello CR IRB 2)</w:t>
      </w:r>
      <w:bookmarkEnd w:id="101"/>
      <w:bookmarkEnd w:id="10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2A677E" w14:paraId="56EC6AC2" w14:textId="77777777" w:rsidTr="00822842">
        <w:tc>
          <w:tcPr>
            <w:tcW w:w="2024" w:type="dxa"/>
            <w:shd w:val="clear" w:color="auto" w:fill="BFBFBF"/>
          </w:tcPr>
          <w:p w14:paraId="2B478CBD" w14:textId="77777777" w:rsidR="00FB3D09" w:rsidRPr="002A677E" w:rsidRDefault="00FB3D09" w:rsidP="00822842">
            <w:pPr>
              <w:rPr>
                <w:rFonts w:ascii="Times New Roman" w:hAnsi="Times New Roman"/>
                <w:sz w:val="24"/>
              </w:rPr>
            </w:pPr>
            <w:r>
              <w:rPr>
                <w:rFonts w:ascii="Times New Roman" w:hAnsi="Times New Roman"/>
                <w:sz w:val="24"/>
              </w:rPr>
              <w:t>Colonna</w:t>
            </w:r>
          </w:p>
        </w:tc>
        <w:tc>
          <w:tcPr>
            <w:tcW w:w="7804" w:type="dxa"/>
            <w:shd w:val="clear" w:color="auto" w:fill="BFBFBF"/>
          </w:tcPr>
          <w:p w14:paraId="72EF06FF" w14:textId="77777777" w:rsidR="00FB3D09" w:rsidRPr="002A677E" w:rsidRDefault="00FB3D09" w:rsidP="00822842">
            <w:pPr>
              <w:rPr>
                <w:rFonts w:ascii="Times New Roman" w:hAnsi="Times New Roman"/>
                <w:sz w:val="24"/>
              </w:rPr>
            </w:pPr>
            <w:r>
              <w:rPr>
                <w:rFonts w:ascii="Times New Roman" w:hAnsi="Times New Roman"/>
                <w:sz w:val="24"/>
              </w:rPr>
              <w:t>Istruzioni</w:t>
            </w:r>
          </w:p>
        </w:tc>
      </w:tr>
      <w:tr w:rsidR="00FB3D09" w:rsidRPr="002A677E" w14:paraId="76358864" w14:textId="77777777" w:rsidTr="00822842">
        <w:tc>
          <w:tcPr>
            <w:tcW w:w="2024" w:type="dxa"/>
          </w:tcPr>
          <w:p w14:paraId="46C873B6" w14:textId="77777777" w:rsidR="00FB3D09" w:rsidRPr="002A677E" w:rsidRDefault="00FB3D09" w:rsidP="00822842">
            <w:pPr>
              <w:rPr>
                <w:rFonts w:ascii="Times New Roman" w:hAnsi="Times New Roman"/>
                <w:sz w:val="24"/>
              </w:rPr>
            </w:pPr>
            <w:r>
              <w:rPr>
                <w:rFonts w:ascii="Times New Roman" w:hAnsi="Times New Roman"/>
                <w:sz w:val="24"/>
              </w:rPr>
              <w:t>0005</w:t>
            </w:r>
          </w:p>
        </w:tc>
        <w:tc>
          <w:tcPr>
            <w:tcW w:w="7804" w:type="dxa"/>
          </w:tcPr>
          <w:p w14:paraId="130BE1CA"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Classe di debitori (identificativo della riga)</w:t>
            </w:r>
          </w:p>
          <w:p w14:paraId="49E1BF99" w14:textId="77777777" w:rsidR="00FB3D09" w:rsidRPr="002A677E" w:rsidRDefault="00FB3D09" w:rsidP="00822842">
            <w:pPr>
              <w:rPr>
                <w:rFonts w:ascii="Times New Roman" w:hAnsi="Times New Roman"/>
                <w:sz w:val="24"/>
              </w:rPr>
            </w:pPr>
            <w:r>
              <w:rPr>
                <w:rFonts w:ascii="Times New Roman" w:hAnsi="Times New Roman"/>
                <w:sz w:val="24"/>
              </w:rPr>
              <w:t>Si tratta di un identificativo della riga ed è unico per ciascuna riga su un dato foglio del modello. Segue l'ordine numerico 1, 2, 3 ecc.</w:t>
            </w:r>
          </w:p>
          <w:p w14:paraId="748039C7" w14:textId="77777777" w:rsidR="00FB3D09" w:rsidRPr="002A677E" w:rsidRDefault="00FB3D09" w:rsidP="00822842">
            <w:pPr>
              <w:rPr>
                <w:rFonts w:ascii="Times New Roman" w:hAnsi="Times New Roman"/>
                <w:sz w:val="24"/>
              </w:rPr>
            </w:pPr>
            <w:r>
              <w:rPr>
                <w:rFonts w:ascii="Times New Roman" w:hAnsi="Times New Roman"/>
                <w:sz w:val="24"/>
              </w:rPr>
              <w:t xml:space="preserve">La prima classe (o pool) da segnalare è la migliore, poi la seconda migliore e così via. L'ultima o le ultime classi (o pool) segnalate sono quelle delle esposizioni in stato di default. </w:t>
            </w:r>
          </w:p>
        </w:tc>
      </w:tr>
      <w:tr w:rsidR="00FB3D09" w:rsidRPr="002A677E" w14:paraId="2E9E255A" w14:textId="77777777" w:rsidTr="00822842">
        <w:tc>
          <w:tcPr>
            <w:tcW w:w="2024" w:type="dxa"/>
          </w:tcPr>
          <w:p w14:paraId="7EBE6354" w14:textId="77777777" w:rsidR="00FB3D09" w:rsidRPr="002A677E" w:rsidRDefault="00FB3D09" w:rsidP="00822842">
            <w:pPr>
              <w:rPr>
                <w:rFonts w:ascii="Times New Roman" w:hAnsi="Times New Roman"/>
                <w:sz w:val="24"/>
              </w:rPr>
            </w:pPr>
            <w:r>
              <w:rPr>
                <w:rFonts w:ascii="Times New Roman" w:hAnsi="Times New Roman"/>
                <w:sz w:val="24"/>
              </w:rPr>
              <w:t>0010-0300</w:t>
            </w:r>
          </w:p>
        </w:tc>
        <w:tc>
          <w:tcPr>
            <w:tcW w:w="7804" w:type="dxa"/>
          </w:tcPr>
          <w:p w14:paraId="68F58938" w14:textId="77777777" w:rsidR="00FB3D09" w:rsidRPr="002A677E" w:rsidRDefault="00FB3D09" w:rsidP="00822842">
            <w:pPr>
              <w:rPr>
                <w:rFonts w:ascii="Times New Roman" w:hAnsi="Times New Roman"/>
                <w:sz w:val="24"/>
              </w:rPr>
            </w:pPr>
            <w:r>
              <w:rPr>
                <w:rFonts w:ascii="Times New Roman" w:hAnsi="Times New Roman"/>
                <w:sz w:val="24"/>
              </w:rPr>
              <w:t>Per ciascuna di queste colonne valgono le istruzioni delle colonne numerate in modo corrispondente del modello CR IRB 1.</w:t>
            </w:r>
          </w:p>
        </w:tc>
      </w:tr>
    </w:tbl>
    <w:p w14:paraId="040BB8C7" w14:textId="77777777" w:rsidR="00FB3D09" w:rsidRPr="002A677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2A677E" w14:paraId="767C7154" w14:textId="77777777" w:rsidTr="00822842">
        <w:tc>
          <w:tcPr>
            <w:tcW w:w="2024" w:type="dxa"/>
            <w:shd w:val="pct25" w:color="auto" w:fill="auto"/>
          </w:tcPr>
          <w:p w14:paraId="50BC5DEB" w14:textId="77777777" w:rsidR="00FB3D09" w:rsidRPr="002A677E" w:rsidRDefault="00FB3D09" w:rsidP="00822842">
            <w:pPr>
              <w:rPr>
                <w:rFonts w:ascii="Times New Roman" w:hAnsi="Times New Roman"/>
                <w:sz w:val="24"/>
              </w:rPr>
            </w:pPr>
            <w:r>
              <w:rPr>
                <w:rFonts w:ascii="Times New Roman" w:hAnsi="Times New Roman"/>
                <w:sz w:val="24"/>
              </w:rPr>
              <w:lastRenderedPageBreak/>
              <w:t>Riga</w:t>
            </w:r>
          </w:p>
        </w:tc>
        <w:tc>
          <w:tcPr>
            <w:tcW w:w="7804" w:type="dxa"/>
            <w:shd w:val="pct25" w:color="auto" w:fill="auto"/>
          </w:tcPr>
          <w:p w14:paraId="656BDFFA" w14:textId="77777777" w:rsidR="00FB3D09" w:rsidRPr="002A677E" w:rsidRDefault="00FB3D09" w:rsidP="00822842">
            <w:pPr>
              <w:rPr>
                <w:rFonts w:ascii="Times New Roman" w:hAnsi="Times New Roman"/>
                <w:sz w:val="24"/>
              </w:rPr>
            </w:pPr>
            <w:r>
              <w:rPr>
                <w:rFonts w:ascii="Times New Roman" w:hAnsi="Times New Roman"/>
                <w:sz w:val="24"/>
              </w:rPr>
              <w:t>Istruzioni</w:t>
            </w:r>
          </w:p>
        </w:tc>
      </w:tr>
      <w:tr w:rsidR="00FB3D09" w:rsidRPr="002A677E" w14:paraId="4253B5F0" w14:textId="77777777" w:rsidTr="00822842">
        <w:tc>
          <w:tcPr>
            <w:tcW w:w="2024" w:type="dxa"/>
          </w:tcPr>
          <w:p w14:paraId="1F1498DB" w14:textId="77777777" w:rsidR="00FB3D09" w:rsidRPr="002A677E" w:rsidRDefault="00FB3D09" w:rsidP="00822842">
            <w:pPr>
              <w:rPr>
                <w:rFonts w:ascii="Times New Roman" w:hAnsi="Times New Roman"/>
                <w:sz w:val="24"/>
              </w:rPr>
            </w:pPr>
            <w:r>
              <w:rPr>
                <w:rFonts w:ascii="Times New Roman" w:hAnsi="Times New Roman"/>
                <w:sz w:val="24"/>
              </w:rPr>
              <w:t>0010-0001 – 0010-NNNN</w:t>
            </w:r>
          </w:p>
        </w:tc>
        <w:tc>
          <w:tcPr>
            <w:tcW w:w="7804" w:type="dxa"/>
          </w:tcPr>
          <w:p w14:paraId="7438CE6A" w14:textId="77777777" w:rsidR="00FB3D09" w:rsidRPr="002A677E" w:rsidRDefault="00FB3D09" w:rsidP="00822842">
            <w:pPr>
              <w:rPr>
                <w:rFonts w:ascii="Times New Roman" w:hAnsi="Times New Roman"/>
                <w:sz w:val="24"/>
              </w:rPr>
            </w:pPr>
            <w:r>
              <w:rPr>
                <w:rFonts w:ascii="Times New Roman" w:hAnsi="Times New Roman"/>
                <w:sz w:val="24"/>
              </w:rPr>
              <w:t>Gli importi segnalati in queste righe sono inseriti nell'ordine corrispondente alla PD assegnata alla classe o al pool di debitori. La PD dei debitori in stato di default è pari al 100 %. Le esposizioni soggette al trattamento alternativo per le garanzie immobiliari (applicabile soltanto se non si utilizzano stime interne della LGD) non sono assegnate in base alla PD del debitore e non sono segnalate in questo modello.</w:t>
            </w:r>
          </w:p>
        </w:tc>
      </w:tr>
    </w:tbl>
    <w:p w14:paraId="207794BA" w14:textId="77777777" w:rsidR="00FB3D09" w:rsidRPr="002A677E" w:rsidRDefault="00FB3D09" w:rsidP="00FB3D09">
      <w:pPr>
        <w:pStyle w:val="InstructionsText"/>
      </w:pPr>
    </w:p>
    <w:p w14:paraId="26916390"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03" w:name="_Toc19715755"/>
      <w:bookmarkStart w:id="104" w:name="_Toc151714399"/>
      <w:r>
        <w:rPr>
          <w:rFonts w:ascii="Times New Roman" w:hAnsi="Times New Roman"/>
          <w:sz w:val="24"/>
        </w:rPr>
        <w:t>C 08.03 — Rischio di credito e operazioni con regolamento non contestuale: metodo IRB applicato ai requisiti patrimoniali (ripartizione per intervalli di PD (CR IRB 3))</w:t>
      </w:r>
      <w:bookmarkEnd w:id="103"/>
      <w:bookmarkEnd w:id="104"/>
    </w:p>
    <w:p w14:paraId="32A5436F" w14:textId="77777777" w:rsidR="00FB3D09" w:rsidRPr="002A677E" w:rsidRDefault="00FB3D09" w:rsidP="008C13A4">
      <w:pPr>
        <w:pStyle w:val="Instructionsberschrift2"/>
        <w:numPr>
          <w:ilvl w:val="3"/>
          <w:numId w:val="21"/>
        </w:numPr>
        <w:rPr>
          <w:rFonts w:ascii="Times New Roman" w:hAnsi="Times New Roman" w:cs="Times New Roman"/>
          <w:sz w:val="24"/>
        </w:rPr>
      </w:pPr>
      <w:bookmarkStart w:id="105" w:name="_Toc19715756"/>
      <w:bookmarkStart w:id="106" w:name="_Toc151714400"/>
      <w:r>
        <w:rPr>
          <w:rFonts w:ascii="Times New Roman" w:hAnsi="Times New Roman"/>
          <w:sz w:val="24"/>
        </w:rPr>
        <w:t>Osservazioni di carattere generale</w:t>
      </w:r>
      <w:bookmarkEnd w:id="105"/>
      <w:bookmarkEnd w:id="106"/>
    </w:p>
    <w:p w14:paraId="0918D50A"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77</w:t>
      </w:r>
      <w:r>
        <w:fldChar w:fldCharType="end"/>
      </w:r>
      <w:r>
        <w:t>. Gli enti segnalano le informazioni incluse in questo modello in applicazione dell'articolo 452, lettera g), punti da i) a v), del regolamento (UE) n. 575/2013, al fine di fornire informazioni sui principali parametri utilizzati per il calcolo dei requisiti patrimoniali per il metodo IRB. Le informazioni segnalate in questo modello non comprendono i dati sui finanziamenti specializzati di cui all'articolo 153, paragrafo 5, del regolamento (UE) n. 575/2013 che sono inclusi nel modello C 08.06. Da questo modello sono escluse le esposizioni soggette al rischio di controparte (CCR) (parte tre, titolo II, capo 6, del regolamento (UE) n. 575/2013).</w:t>
      </w:r>
    </w:p>
    <w:p w14:paraId="18B1A0B3"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07" w:name="_Toc19715757"/>
      <w:bookmarkStart w:id="108" w:name="_Toc151714401"/>
      <w:r>
        <w:rPr>
          <w:rFonts w:ascii="Times New Roman" w:hAnsi="Times New Roman"/>
          <w:sz w:val="24"/>
        </w:rPr>
        <w:t>Istruzioni relative a posizioni specifiche</w:t>
      </w:r>
      <w:bookmarkEnd w:id="107"/>
      <w:bookmarkEnd w:id="10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1A83A24A" w14:textId="77777777" w:rsidTr="00822842">
        <w:tc>
          <w:tcPr>
            <w:tcW w:w="1188" w:type="dxa"/>
            <w:shd w:val="clear" w:color="auto" w:fill="CCCCCC"/>
          </w:tcPr>
          <w:p w14:paraId="716EB21D" w14:textId="77777777" w:rsidR="00FB3D09" w:rsidRPr="002A677E" w:rsidRDefault="00FB3D09" w:rsidP="00822842">
            <w:pPr>
              <w:rPr>
                <w:rFonts w:ascii="Times New Roman" w:hAnsi="Times New Roman"/>
                <w:sz w:val="24"/>
              </w:rPr>
            </w:pPr>
            <w:r>
              <w:rPr>
                <w:rFonts w:ascii="Times New Roman" w:hAnsi="Times New Roman"/>
                <w:sz w:val="24"/>
              </w:rPr>
              <w:t>Colonne</w:t>
            </w:r>
          </w:p>
        </w:tc>
        <w:tc>
          <w:tcPr>
            <w:tcW w:w="8843" w:type="dxa"/>
            <w:shd w:val="clear" w:color="auto" w:fill="CCCCCC"/>
          </w:tcPr>
          <w:p w14:paraId="3EB4007D" w14:textId="77777777" w:rsidR="00FB3D09" w:rsidRPr="002A677E" w:rsidRDefault="00FB3D09" w:rsidP="00822842">
            <w:pPr>
              <w:rPr>
                <w:rFonts w:ascii="Times New Roman" w:hAnsi="Times New Roman"/>
                <w:sz w:val="24"/>
              </w:rPr>
            </w:pPr>
            <w:r>
              <w:rPr>
                <w:rFonts w:ascii="Times New Roman" w:hAnsi="Times New Roman"/>
                <w:sz w:val="24"/>
              </w:rPr>
              <w:t>Istruzioni</w:t>
            </w:r>
          </w:p>
        </w:tc>
      </w:tr>
      <w:tr w:rsidR="00FB3D09" w:rsidRPr="002A677E" w14:paraId="71C99AF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F5B36B" w14:textId="77777777" w:rsidR="00FB3D09" w:rsidRPr="002A677E" w:rsidRDefault="00FB3D09" w:rsidP="00822842">
            <w:pPr>
              <w:rPr>
                <w:rFonts w:ascii="Times New Roman" w:hAnsi="Times New Roman"/>
                <w:sz w:val="24"/>
              </w:rPr>
            </w:pPr>
            <w:r>
              <w:rPr>
                <w:rFonts w:ascii="Times New Roman" w:hAnsi="Times New Roman"/>
                <w:sz w:val="24"/>
              </w:rPr>
              <w:t>0010</w:t>
            </w:r>
          </w:p>
          <w:p w14:paraId="5AF0F519" w14:textId="77777777" w:rsidR="00FB3D09" w:rsidRPr="002A677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F7A92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ESPOSIZIONI IN BILANCIO</w:t>
            </w:r>
          </w:p>
          <w:p w14:paraId="00204A28" w14:textId="77777777" w:rsidR="00FB3D09" w:rsidRPr="002A677E" w:rsidRDefault="00FB3D09" w:rsidP="00822842">
            <w:pPr>
              <w:rPr>
                <w:rFonts w:ascii="Times New Roman" w:hAnsi="Times New Roman"/>
                <w:sz w:val="24"/>
              </w:rPr>
            </w:pPr>
            <w:r>
              <w:rPr>
                <w:rFonts w:ascii="Times New Roman" w:hAnsi="Times New Roman"/>
                <w:sz w:val="24"/>
              </w:rPr>
              <w:t>Valore dell'esposizione calcolato conformemente all'articolo 166, paragrafi da 1 a 7, del regolamento (UE) n. 575/2013 senza tener conto delle rettifiche di valore su crediti</w:t>
            </w:r>
          </w:p>
        </w:tc>
      </w:tr>
      <w:tr w:rsidR="00FB3D09" w:rsidRPr="002A677E" w14:paraId="22B6384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E4B365F"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71C2B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ESPOSIZIONI FUORI BILANCIO PRIMA DELL'APPLICAZIONE DEI FATTORI DI CONVERSIONE</w:t>
            </w:r>
          </w:p>
          <w:p w14:paraId="55489989" w14:textId="483DFDC9" w:rsidR="00FB3D09" w:rsidRPr="002A677E" w:rsidRDefault="00FB3D09" w:rsidP="00822842">
            <w:pPr>
              <w:rPr>
                <w:rFonts w:ascii="Times New Roman" w:hAnsi="Times New Roman"/>
                <w:sz w:val="24"/>
              </w:rPr>
            </w:pPr>
            <w:r>
              <w:rPr>
                <w:rFonts w:ascii="Times New Roman" w:hAnsi="Times New Roman"/>
                <w:sz w:val="24"/>
              </w:rPr>
              <w:t>Valore dell'esposizione conformemente all'articolo 166, paragrafi da 1 a 7, del regolamento (UE) n. 575/2013, senza tener conto delle rettifiche di valore su crediti e dei fattori di conversione, né delle stime interne e dei fattori di conversione specificati all'articolo 166, paragrafo 8, di tale regolamento.</w:t>
            </w:r>
          </w:p>
          <w:p w14:paraId="5D37048B" w14:textId="77777777" w:rsidR="00FB3D09" w:rsidRPr="002A677E" w:rsidRDefault="00FB3D09" w:rsidP="00822842">
            <w:pPr>
              <w:rPr>
                <w:rFonts w:ascii="Times New Roman" w:hAnsi="Times New Roman"/>
                <w:sz w:val="24"/>
              </w:rPr>
            </w:pPr>
            <w:r>
              <w:rPr>
                <w:rFonts w:ascii="Times New Roman" w:hAnsi="Times New Roman"/>
                <w:sz w:val="24"/>
              </w:rPr>
              <w:t>Le esposizioni fuori bilancio comprendono tutti gli importi impegnati ma non utilizzati e tutti gli elementi fuori bilancio elencati nell'allegato I del regolamento (UE) n. 575/2013.</w:t>
            </w:r>
          </w:p>
        </w:tc>
      </w:tr>
      <w:tr w:rsidR="00FB3D09" w:rsidRPr="002A677E" w14:paraId="5AAD70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39A4906"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F0325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FATTORI DI CONVERSIONE MEDI PONDERATI PER L'ESPOSIZIONE</w:t>
            </w:r>
          </w:p>
          <w:p w14:paraId="69C8E2B0" w14:textId="77777777" w:rsidR="00FB3D09" w:rsidRPr="002A677E" w:rsidRDefault="00FB3D09" w:rsidP="00822842">
            <w:pPr>
              <w:rPr>
                <w:rFonts w:ascii="Times New Roman" w:hAnsi="Times New Roman"/>
                <w:sz w:val="24"/>
              </w:rPr>
            </w:pPr>
            <w:r>
              <w:rPr>
                <w:rFonts w:ascii="Times New Roman" w:hAnsi="Times New Roman"/>
                <w:sz w:val="24"/>
              </w:rPr>
              <w:t xml:space="preserve">Per tutte le esposizioni incluse in ciascuna categoria dell'intervallo di PD fissato, il fattore di conversione medio utilizzato dagli enti nel calcolo degli importi delle esposizioni ponderati per il rischio, ponderato per l'esposizione fuori bilancio pre-CCF di cui alla colonna 0020. </w:t>
            </w:r>
          </w:p>
        </w:tc>
      </w:tr>
      <w:tr w:rsidR="00FB3D09" w:rsidRPr="002A677E" w14:paraId="30332FF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AAF7A35" w14:textId="77777777" w:rsidR="00FB3D09" w:rsidRPr="002A677E" w:rsidRDefault="00FB3D09" w:rsidP="00822842">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F02FE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VALORE DELL'ESPOSIZIONE DOPO L'APPLICAZIONE DEI FATTORI DI CONVERSIONE E POST-CRM</w:t>
            </w:r>
          </w:p>
          <w:p w14:paraId="416A72EE" w14:textId="77777777" w:rsidR="00FB3D09" w:rsidRPr="002A677E" w:rsidRDefault="00FB3D09" w:rsidP="00822842">
            <w:pPr>
              <w:rPr>
                <w:rFonts w:ascii="Times New Roman" w:hAnsi="Times New Roman"/>
                <w:sz w:val="24"/>
              </w:rPr>
            </w:pPr>
            <w:r>
              <w:rPr>
                <w:rFonts w:ascii="Times New Roman" w:hAnsi="Times New Roman"/>
                <w:sz w:val="24"/>
              </w:rPr>
              <w:t>Valore dell'esposizione conformemente all'articolo 166 del regolamento (UE) n. 575/2013</w:t>
            </w:r>
          </w:p>
          <w:p w14:paraId="2BC7EF47" w14:textId="0D3DE562" w:rsidR="00FB3D09" w:rsidRPr="002A677E" w:rsidRDefault="00FB3D09" w:rsidP="00822842">
            <w:pPr>
              <w:rPr>
                <w:rFonts w:ascii="Times New Roman" w:hAnsi="Times New Roman"/>
                <w:sz w:val="24"/>
              </w:rPr>
            </w:pPr>
            <w:r>
              <w:rPr>
                <w:rFonts w:ascii="Times New Roman" w:hAnsi="Times New Roman"/>
                <w:sz w:val="24"/>
              </w:rPr>
              <w:t>Questa colonna comprende la somma del valore delle esposizioni in bilancio e delle esposizioni fuori bilancio dopo l'applicazione dei fattori di conversione, conformemente all'articolo 166, paragrafi 8 e 9, del regolamento (UE) n. 575/2013, e delle tecniche di attenuazione del rischio di credito.</w:t>
            </w:r>
          </w:p>
        </w:tc>
      </w:tr>
      <w:tr w:rsidR="00FB3D09" w:rsidRPr="002A677E" w14:paraId="4E069FC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6C3E0E9"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981DB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PD MEDIA PONDERATA PER L'ESPOSIZIONE (%)</w:t>
            </w:r>
          </w:p>
          <w:p w14:paraId="4DB9C65C" w14:textId="77777777" w:rsidR="00FB3D09" w:rsidRDefault="00FB3D09" w:rsidP="00822842">
            <w:pPr>
              <w:rPr>
                <w:rFonts w:ascii="Times New Roman" w:hAnsi="Times New Roman"/>
                <w:sz w:val="24"/>
              </w:rPr>
            </w:pPr>
            <w:r>
              <w:rPr>
                <w:rFonts w:ascii="Times New Roman" w:hAnsi="Times New Roman"/>
                <w:sz w:val="24"/>
              </w:rPr>
              <w:t>Per tutte le esposizioni incluse in ciascuna categoria dell'intervallo di PD fissato, la stima media della PD di ciascun debitore, ponderata per il valore dell'esposizione post-CCF e CRM di cui alla colonna 0040.</w:t>
            </w:r>
          </w:p>
          <w:p w14:paraId="6AFB8412" w14:textId="77777777" w:rsidR="00FB3D09" w:rsidRPr="002A677E" w:rsidRDefault="00FB3D09" w:rsidP="00822842">
            <w:pPr>
              <w:rPr>
                <w:rFonts w:ascii="Times New Roman" w:hAnsi="Times New Roman"/>
                <w:sz w:val="24"/>
              </w:rPr>
            </w:pPr>
            <w:r>
              <w:rPr>
                <w:rFonts w:ascii="Times New Roman" w:hAnsi="Times New Roman"/>
                <w:sz w:val="24"/>
              </w:rPr>
              <w:t xml:space="preserve">Non è necessario compilare questa colonna per il totale di tutte le classi di esposizioni. </w:t>
            </w:r>
          </w:p>
        </w:tc>
      </w:tr>
      <w:tr w:rsidR="00FB3D09" w:rsidRPr="002A677E" w14:paraId="2BC40F2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F2C44DF"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5B05F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NUMERO DI DEBITORI</w:t>
            </w:r>
          </w:p>
          <w:p w14:paraId="0F009E63" w14:textId="77777777" w:rsidR="00FB3D09" w:rsidRPr="002A677E" w:rsidRDefault="00FB3D09" w:rsidP="00822842">
            <w:pPr>
              <w:rPr>
                <w:rFonts w:ascii="Times New Roman" w:hAnsi="Times New Roman"/>
                <w:sz w:val="24"/>
              </w:rPr>
            </w:pPr>
            <w:r>
              <w:rPr>
                <w:rFonts w:ascii="Times New Roman" w:hAnsi="Times New Roman"/>
                <w:sz w:val="24"/>
              </w:rPr>
              <w:t xml:space="preserve">Numero di soggetti giuridici o debitori assegnati a ciascuna categoria dell'intervallo di PD fissato </w:t>
            </w:r>
          </w:p>
          <w:p w14:paraId="25C904A6" w14:textId="77777777" w:rsidR="00FB3D09" w:rsidRPr="002A677E" w:rsidRDefault="00FB3D09" w:rsidP="00822842">
            <w:pPr>
              <w:rPr>
                <w:rFonts w:ascii="Times New Roman" w:hAnsi="Times New Roman"/>
                <w:sz w:val="24"/>
              </w:rPr>
            </w:pPr>
            <w:r>
              <w:rPr>
                <w:rFonts w:ascii="Times New Roman" w:hAnsi="Times New Roman"/>
                <w:sz w:val="24"/>
              </w:rPr>
              <w:t>Il numero dei debitori è conteggiato conformemente alle istruzioni riportate nella colonna 0300 del modello C 08.01. I debitori congiunti sono trattati come ai fini della calibratura della PD.</w:t>
            </w:r>
          </w:p>
        </w:tc>
      </w:tr>
      <w:tr w:rsidR="00FB3D09" w:rsidRPr="002A677E" w14:paraId="1AFC6165"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B8508A8" w14:textId="77777777" w:rsidR="00FB3D09" w:rsidRPr="002A677E" w:rsidRDefault="00FB3D09" w:rsidP="00822842">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A9DA3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LGD MEDIA PONDERATA PER L'ESPOSIZIONE (%)</w:t>
            </w:r>
          </w:p>
          <w:p w14:paraId="64245660" w14:textId="77777777" w:rsidR="00FB3D09" w:rsidRPr="002A677E" w:rsidRDefault="00FB3D09" w:rsidP="00822842">
            <w:pPr>
              <w:rPr>
                <w:rFonts w:ascii="Times New Roman" w:hAnsi="Times New Roman"/>
                <w:sz w:val="24"/>
              </w:rPr>
            </w:pPr>
            <w:r>
              <w:rPr>
                <w:rFonts w:ascii="Times New Roman" w:hAnsi="Times New Roman"/>
                <w:sz w:val="24"/>
              </w:rPr>
              <w:t>Per tutte le esposizioni incluse in ciascuna categoria dell'intervallo di PD fissato, la media delle stime della LGD per ciascuna esposizione, ponderata per il valore dell'esposizione post-CCF e post-CRM di cui alla colonna 0040.</w:t>
            </w:r>
          </w:p>
          <w:p w14:paraId="61129324" w14:textId="77777777" w:rsidR="00FB3D09" w:rsidRPr="002A677E" w:rsidRDefault="00FB3D09" w:rsidP="00822842">
            <w:pPr>
              <w:rPr>
                <w:rFonts w:ascii="Times New Roman" w:hAnsi="Times New Roman"/>
                <w:sz w:val="24"/>
              </w:rPr>
            </w:pPr>
            <w:r>
              <w:rPr>
                <w:rFonts w:ascii="Times New Roman" w:hAnsi="Times New Roman"/>
                <w:sz w:val="24"/>
              </w:rPr>
              <w:t>La LGD segnalata corrisponde alla stima finale della LGD utilizzata nel calcolo degli importi ponderati per il rischio ottenuti considerando gli effetti della CRM e le condizioni di recessione, se del caso. Per le esposizioni al dettaglio garantite da immobili, la LGD segnalata tiene conto dei livelli minimi specificati all'articolo 164, paragrafo 4, del regolamento (UE) n. 575/2013.</w:t>
            </w:r>
          </w:p>
          <w:p w14:paraId="4123D9EA" w14:textId="77777777" w:rsidR="00FB3D09" w:rsidRDefault="00FB3D09" w:rsidP="00822842">
            <w:pPr>
              <w:rPr>
                <w:rFonts w:ascii="Times New Roman" w:hAnsi="Times New Roman"/>
                <w:sz w:val="24"/>
              </w:rPr>
            </w:pPr>
            <w:r>
              <w:rPr>
                <w:rFonts w:ascii="Times New Roman" w:hAnsi="Times New Roman"/>
                <w:sz w:val="24"/>
              </w:rPr>
              <w:t xml:space="preserve">Per le esposizioni in stato di default secondo il metodo A-IRB si applicano le disposizioni dell'articolo 181, paragrafo 1, lettera h), del regolamento (UE) n. 575/2013. La LGD segnalata corrisponde alla stima della LGD in stato di default </w:t>
            </w:r>
            <w:r>
              <w:rPr>
                <w:rStyle w:val="InstructionsTabelleText"/>
                <w:rFonts w:ascii="Times New Roman" w:hAnsi="Times New Roman"/>
                <w:sz w:val="24"/>
              </w:rPr>
              <w:t>conformemente</w:t>
            </w:r>
            <w:r>
              <w:rPr>
                <w:rFonts w:ascii="Times New Roman" w:hAnsi="Times New Roman"/>
                <w:sz w:val="24"/>
              </w:rPr>
              <w:t xml:space="preserve"> alle metodologie di stima applicabili.</w:t>
            </w:r>
          </w:p>
          <w:p w14:paraId="176BBB47" w14:textId="77777777" w:rsidR="00FB3D09" w:rsidRPr="002A677E" w:rsidRDefault="00FB3D09" w:rsidP="00822842">
            <w:pPr>
              <w:rPr>
                <w:rFonts w:ascii="Times New Roman" w:hAnsi="Times New Roman"/>
                <w:sz w:val="24"/>
              </w:rPr>
            </w:pPr>
            <w:r>
              <w:rPr>
                <w:rFonts w:ascii="Times New Roman" w:hAnsi="Times New Roman"/>
                <w:sz w:val="24"/>
              </w:rPr>
              <w:t>Non è necessario compilare questa colonna per il totale di tutte le classi di esposizioni.</w:t>
            </w:r>
          </w:p>
        </w:tc>
      </w:tr>
      <w:tr w:rsidR="00FB3D09" w:rsidRPr="002A677E" w14:paraId="449A226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F3127EC" w14:textId="77777777" w:rsidR="00FB3D09" w:rsidRPr="002A677E" w:rsidRDefault="00FB3D09" w:rsidP="00822842">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BD5667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DURATA MEDIA PONDERATA PER L'ESPOSIZIONE (ANNI)</w:t>
            </w:r>
          </w:p>
          <w:p w14:paraId="44C8EC59" w14:textId="77777777" w:rsidR="00FB3D09" w:rsidRPr="002A677E" w:rsidRDefault="00FB3D09" w:rsidP="00822842">
            <w:pPr>
              <w:rPr>
                <w:rFonts w:ascii="Times New Roman" w:hAnsi="Times New Roman"/>
                <w:sz w:val="24"/>
              </w:rPr>
            </w:pPr>
            <w:r>
              <w:rPr>
                <w:rFonts w:ascii="Times New Roman" w:hAnsi="Times New Roman"/>
                <w:sz w:val="24"/>
              </w:rPr>
              <w:t>Per tutte le esposizioni incluse in ciascuna categoria dell'intervallo di PD fissato, la durata media di ciascuna esposizione, ponderata per il valore dell'esposizione post-CCF di cui alla colonna 0040.</w:t>
            </w:r>
          </w:p>
          <w:p w14:paraId="6B1FFBC1" w14:textId="77777777" w:rsidR="00FB3D09" w:rsidRPr="002A677E" w:rsidRDefault="00FB3D09" w:rsidP="00822842">
            <w:pPr>
              <w:rPr>
                <w:rFonts w:ascii="Times New Roman" w:hAnsi="Times New Roman"/>
                <w:sz w:val="24"/>
              </w:rPr>
            </w:pPr>
            <w:r>
              <w:rPr>
                <w:rFonts w:ascii="Times New Roman" w:hAnsi="Times New Roman"/>
                <w:sz w:val="24"/>
              </w:rPr>
              <w:t xml:space="preserve">Il valore della durata segnalato è determinato conformemente all'articolo 162 del regolamento (UE) n. 575/2013. </w:t>
            </w:r>
          </w:p>
          <w:p w14:paraId="450A0AC2" w14:textId="77777777" w:rsidR="00FB3D09" w:rsidRPr="002A677E" w:rsidRDefault="00FB3D09" w:rsidP="00822842">
            <w:pPr>
              <w:rPr>
                <w:rFonts w:ascii="Times New Roman" w:hAnsi="Times New Roman"/>
                <w:sz w:val="24"/>
              </w:rPr>
            </w:pPr>
            <w:r>
              <w:rPr>
                <w:rFonts w:ascii="Times New Roman" w:hAnsi="Times New Roman"/>
                <w:sz w:val="24"/>
              </w:rPr>
              <w:t>La durata media è espressa in anni.</w:t>
            </w:r>
          </w:p>
          <w:p w14:paraId="2D4B80D4" w14:textId="1FEFFD8D" w:rsidR="00FB3D09" w:rsidRPr="002A677E" w:rsidRDefault="00FB3D09" w:rsidP="00822842">
            <w:pPr>
              <w:rPr>
                <w:rFonts w:ascii="Times New Roman" w:hAnsi="Times New Roman"/>
                <w:sz w:val="24"/>
              </w:rPr>
            </w:pPr>
            <w:r>
              <w:rPr>
                <w:rFonts w:ascii="Times New Roman" w:hAnsi="Times New Roman"/>
                <w:sz w:val="24"/>
              </w:rPr>
              <w:lastRenderedPageBreak/>
              <w:t xml:space="preserve">Questi dati non sono segnalati per i valori delle esposizioni la cui durata non è un elemento compreso nel calcolo degli </w:t>
            </w:r>
            <w:r>
              <w:rPr>
                <w:rStyle w:val="InstructionsTabelleText"/>
                <w:rFonts w:ascii="Times New Roman" w:hAnsi="Times New Roman"/>
                <w:sz w:val="24"/>
              </w:rPr>
              <w:t>importi delle esposizioni ponderati per il rischio</w:t>
            </w:r>
            <w:r>
              <w:rPr>
                <w:rFonts w:ascii="Times New Roman" w:hAnsi="Times New Roman"/>
                <w:sz w:val="24"/>
              </w:rPr>
              <w:t xml:space="preserve"> a norma della parte tre, titolo II, capo 3, del regolamento (UE) n. 575/2013. Ne consegue che questa colonna non è compilata per la classe di esposizioni </w:t>
            </w:r>
            <w:r w:rsidR="001A0ED8">
              <w:rPr>
                <w:rFonts w:ascii="Times New Roman" w:hAnsi="Times New Roman"/>
                <w:sz w:val="24"/>
              </w:rPr>
              <w:t>"</w:t>
            </w:r>
            <w:r>
              <w:rPr>
                <w:rFonts w:ascii="Times New Roman" w:hAnsi="Times New Roman"/>
                <w:sz w:val="24"/>
              </w:rPr>
              <w:t>al dettaglio</w:t>
            </w:r>
            <w:r w:rsidR="001A0ED8">
              <w:rPr>
                <w:rFonts w:ascii="Times New Roman" w:hAnsi="Times New Roman"/>
                <w:sz w:val="24"/>
              </w:rPr>
              <w:t>"</w:t>
            </w:r>
            <w:r>
              <w:rPr>
                <w:rFonts w:ascii="Times New Roman" w:hAnsi="Times New Roman"/>
                <w:sz w:val="24"/>
              </w:rPr>
              <w:t>.</w:t>
            </w:r>
          </w:p>
        </w:tc>
      </w:tr>
      <w:tr w:rsidR="00FB3D09" w:rsidRPr="002A677E" w14:paraId="6D53A25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825A326" w14:textId="77777777" w:rsidR="00FB3D09" w:rsidRPr="002A677E" w:rsidDel="00F079B2" w:rsidRDefault="00FB3D09" w:rsidP="00822842">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0E6B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IMPORTO DELL'ESPOSIZIONE PONDERATO PER IL RISCHIO DOPO L'APPLICAZIONE DEI FATTORI DI SOSTEGNO</w:t>
            </w:r>
          </w:p>
          <w:p w14:paraId="62CEA768" w14:textId="66DE4D49" w:rsidR="00FB3D09" w:rsidRPr="002A677E" w:rsidRDefault="00FB3D09" w:rsidP="00822842">
            <w:pPr>
              <w:rPr>
                <w:rFonts w:ascii="Times New Roman" w:hAnsi="Times New Roman"/>
                <w:sz w:val="24"/>
              </w:rPr>
            </w:pPr>
            <w:r>
              <w:rPr>
                <w:rFonts w:ascii="Times New Roman" w:hAnsi="Times New Roman"/>
                <w:sz w:val="24"/>
              </w:rPr>
              <w:t>Per le esposizioni verso amministrazioni centrali e banche centrali, enti e imprese, l'importo dell'esposizione ponderato per il rischio calcolato conformemente all'articolo</w:t>
            </w:r>
            <w:r w:rsidR="00B937E2">
              <w:rPr>
                <w:rFonts w:ascii="Times New Roman" w:hAnsi="Times New Roman"/>
                <w:sz w:val="24"/>
              </w:rPr>
              <w:t> </w:t>
            </w:r>
            <w:r>
              <w:rPr>
                <w:rFonts w:ascii="Times New Roman" w:hAnsi="Times New Roman"/>
                <w:sz w:val="24"/>
              </w:rPr>
              <w:t>153, paragrafi da 1 a 4; per le esposizioni al dettaglio, l'importo dell'esposizione ponderato per il rischio calcolato conformemente all'articolo 154 del regolamento (UE) n.</w:t>
            </w:r>
            <w:r w:rsidR="00B937E2">
              <w:rPr>
                <w:rFonts w:ascii="Times New Roman" w:hAnsi="Times New Roman"/>
                <w:sz w:val="24"/>
              </w:rPr>
              <w:t> </w:t>
            </w:r>
            <w:r>
              <w:rPr>
                <w:rFonts w:ascii="Times New Roman" w:hAnsi="Times New Roman"/>
                <w:sz w:val="24"/>
              </w:rPr>
              <w:t>575/2013.</w:t>
            </w:r>
          </w:p>
          <w:p w14:paraId="2CF926D6" w14:textId="77777777" w:rsidR="00FB3D09" w:rsidRPr="002A677E" w:rsidRDefault="00FB3D09" w:rsidP="00822842">
            <w:pPr>
              <w:rPr>
                <w:rFonts w:ascii="Times New Roman" w:hAnsi="Times New Roman"/>
                <w:sz w:val="24"/>
              </w:rPr>
            </w:pPr>
            <w:r>
              <w:rPr>
                <w:rFonts w:ascii="Times New Roman" w:hAnsi="Times New Roman"/>
                <w:sz w:val="24"/>
              </w:rPr>
              <w:t xml:space="preserve">Si tiene conto dei fattori di sostegno alle PMI e alle infrastrutture di cui agli articoli 501 e 501 bis del regolamento (UE) n. 575/2013. </w:t>
            </w:r>
          </w:p>
        </w:tc>
      </w:tr>
      <w:tr w:rsidR="00FB3D09" w:rsidRPr="002A677E" w14:paraId="5C992AF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8842E4" w14:textId="77777777" w:rsidR="00FB3D09" w:rsidRPr="002A677E" w:rsidRDefault="00FB3D09" w:rsidP="00822842">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27B09C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IMPORTO DELLE PERDITE ATTESE</w:t>
            </w:r>
          </w:p>
          <w:p w14:paraId="553224A7" w14:textId="77777777" w:rsidR="00FB3D09" w:rsidRPr="002A677E" w:rsidRDefault="00FB3D09" w:rsidP="00822842">
            <w:pPr>
              <w:rPr>
                <w:rFonts w:ascii="Times New Roman" w:hAnsi="Times New Roman"/>
                <w:sz w:val="24"/>
              </w:rPr>
            </w:pPr>
            <w:r>
              <w:rPr>
                <w:rFonts w:ascii="Times New Roman" w:hAnsi="Times New Roman"/>
                <w:sz w:val="24"/>
              </w:rPr>
              <w:t>L'importo delle perdite attese calcolato conformemente all'articolo 158 del regolamento (UE) n. 575/2013</w:t>
            </w:r>
          </w:p>
          <w:p w14:paraId="7FB4F7F3" w14:textId="77777777" w:rsidR="00FB3D09" w:rsidRPr="002A677E" w:rsidRDefault="00FB3D09" w:rsidP="00822842">
            <w:pPr>
              <w:rPr>
                <w:rFonts w:ascii="Times New Roman" w:hAnsi="Times New Roman"/>
                <w:sz w:val="24"/>
              </w:rPr>
            </w:pPr>
            <w:r>
              <w:rPr>
                <w:rFonts w:ascii="Times New Roman" w:hAnsi="Times New Roman"/>
                <w:sz w:val="24"/>
              </w:rPr>
              <w:t>L'importo delle perdite attese da segnalare si basa sui parametri di rischio effettivi utilizzati nella scala di rating interni approvata dalla rispettiva autorità competente.</w:t>
            </w:r>
          </w:p>
        </w:tc>
      </w:tr>
      <w:tr w:rsidR="00FB3D09" w:rsidRPr="002A677E" w14:paraId="41A60C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B1187E9" w14:textId="77777777" w:rsidR="00FB3D09" w:rsidRPr="002A677E" w:rsidRDefault="00FB3D09" w:rsidP="00822842">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97FB7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RETTIFICHE DI VALORE E ACCANTONAMENTI</w:t>
            </w:r>
          </w:p>
          <w:p w14:paraId="6396EDF4" w14:textId="77777777" w:rsidR="00FB3D09" w:rsidRPr="002A677E" w:rsidRDefault="00FB3D09" w:rsidP="00822842">
            <w:pPr>
              <w:rPr>
                <w:rFonts w:ascii="Times New Roman" w:hAnsi="Times New Roman"/>
                <w:sz w:val="24"/>
              </w:rPr>
            </w:pPr>
            <w:r>
              <w:rPr>
                <w:rFonts w:ascii="Times New Roman" w:hAnsi="Times New Roman"/>
                <w:sz w:val="24"/>
              </w:rPr>
              <w:t xml:space="preserve">Rettifiche di valore su crediti generiche e specifiche ai sensi del regolamento delegato (UE) n. 183/2014 della Commissione, rettifiche di valore supplementari a norma degli articoli 34 e 110 del regolamento (UE) n. 575/2013, nonché altre riduzioni dei fondi propri relative alle esposizioni assegnate a ciascuna categoria nell'intervallo di PD fissato </w:t>
            </w:r>
          </w:p>
          <w:p w14:paraId="30338ECC" w14:textId="77777777" w:rsidR="00FB3D09" w:rsidRPr="002A677E" w:rsidRDefault="00FB3D09" w:rsidP="00822842">
            <w:pPr>
              <w:rPr>
                <w:rFonts w:ascii="Times New Roman" w:hAnsi="Times New Roman"/>
                <w:sz w:val="24"/>
              </w:rPr>
            </w:pPr>
            <w:r>
              <w:rPr>
                <w:rFonts w:ascii="Times New Roman" w:hAnsi="Times New Roman"/>
                <w:sz w:val="24"/>
              </w:rPr>
              <w:t>Tali rettifiche di valore e accantonamenti sono quelli considerati ai fini dell'applicazione dell'articolo 159 del regolamento (UE) n. 575/2013.</w:t>
            </w:r>
          </w:p>
          <w:p w14:paraId="44F9E3D4" w14:textId="77777777" w:rsidR="00FB3D09" w:rsidRPr="002A677E" w:rsidRDefault="00FB3D09" w:rsidP="00822842">
            <w:pPr>
              <w:rPr>
                <w:rFonts w:ascii="Times New Roman" w:hAnsi="Times New Roman"/>
                <w:sz w:val="24"/>
              </w:rPr>
            </w:pPr>
            <w:r>
              <w:rPr>
                <w:rFonts w:ascii="Times New Roman" w:hAnsi="Times New Roman"/>
                <w:sz w:val="24"/>
              </w:rPr>
              <w:t xml:space="preserve">Gli accantonamenti generici sono segnalati assegnando un importo pro rata - </w:t>
            </w:r>
            <w:r>
              <w:rPr>
                <w:rStyle w:val="InstructionsTabelleText"/>
                <w:rFonts w:ascii="Times New Roman" w:hAnsi="Times New Roman"/>
                <w:sz w:val="24"/>
              </w:rPr>
              <w:t>in funzione delle</w:t>
            </w:r>
            <w:r>
              <w:rPr>
                <w:rFonts w:ascii="Times New Roman" w:hAnsi="Times New Roman"/>
                <w:sz w:val="24"/>
              </w:rPr>
              <w:t xml:space="preserve"> perdite attese delle diverse classi di debitori. </w:t>
            </w:r>
          </w:p>
        </w:tc>
      </w:tr>
    </w:tbl>
    <w:p w14:paraId="1A4B339F" w14:textId="77777777" w:rsidR="00FB3D09" w:rsidRPr="002A677E" w:rsidRDefault="00FB3D09" w:rsidP="00FB3D09">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6"/>
        <w:gridCol w:w="8092"/>
      </w:tblGrid>
      <w:tr w:rsidR="00FB3D09" w:rsidRPr="002A677E" w14:paraId="27D32695" w14:textId="77777777" w:rsidTr="00822842">
        <w:tc>
          <w:tcPr>
            <w:tcW w:w="1271" w:type="dxa"/>
            <w:shd w:val="clear" w:color="auto" w:fill="auto"/>
          </w:tcPr>
          <w:p w14:paraId="52082BD5" w14:textId="77777777" w:rsidR="00FB3D09" w:rsidRPr="002A677E" w:rsidRDefault="00FB3D09" w:rsidP="00822842">
            <w:pPr>
              <w:rPr>
                <w:rFonts w:ascii="Times New Roman" w:hAnsi="Times New Roman"/>
                <w:sz w:val="24"/>
              </w:rPr>
            </w:pPr>
            <w:r>
              <w:rPr>
                <w:rFonts w:ascii="Times New Roman" w:hAnsi="Times New Roman"/>
                <w:sz w:val="24"/>
              </w:rPr>
              <w:t>Righe</w:t>
            </w:r>
          </w:p>
        </w:tc>
        <w:tc>
          <w:tcPr>
            <w:tcW w:w="8557" w:type="dxa"/>
            <w:shd w:val="clear" w:color="auto" w:fill="auto"/>
          </w:tcPr>
          <w:p w14:paraId="1E8678C0" w14:textId="77777777" w:rsidR="00FB3D09" w:rsidRPr="002A677E" w:rsidRDefault="00FB3D09" w:rsidP="00822842">
            <w:pPr>
              <w:rPr>
                <w:rFonts w:ascii="Times New Roman" w:hAnsi="Times New Roman"/>
                <w:sz w:val="24"/>
              </w:rPr>
            </w:pPr>
            <w:r>
              <w:rPr>
                <w:rFonts w:ascii="Times New Roman" w:hAnsi="Times New Roman"/>
                <w:sz w:val="24"/>
              </w:rPr>
              <w:t>Istruzioni</w:t>
            </w:r>
          </w:p>
        </w:tc>
      </w:tr>
      <w:tr w:rsidR="00FB3D09" w:rsidRPr="002A677E" w14:paraId="45ADFC09" w14:textId="77777777" w:rsidTr="00822842">
        <w:tc>
          <w:tcPr>
            <w:tcW w:w="1271" w:type="dxa"/>
          </w:tcPr>
          <w:p w14:paraId="6A7BEAE2" w14:textId="77777777" w:rsidR="00FB3D09" w:rsidRPr="002A677E" w:rsidRDefault="00FB3D09" w:rsidP="00822842">
            <w:pPr>
              <w:rPr>
                <w:rFonts w:ascii="Times New Roman" w:hAnsi="Times New Roman"/>
                <w:sz w:val="24"/>
              </w:rPr>
            </w:pPr>
            <w:r>
              <w:rPr>
                <w:rFonts w:ascii="Times New Roman" w:hAnsi="Times New Roman"/>
                <w:sz w:val="24"/>
              </w:rPr>
              <w:t>INTERVALLO DI PD</w:t>
            </w:r>
          </w:p>
        </w:tc>
        <w:tc>
          <w:tcPr>
            <w:tcW w:w="8557" w:type="dxa"/>
          </w:tcPr>
          <w:p w14:paraId="2EEEC841" w14:textId="21B277A7" w:rsidR="00FB3D09" w:rsidRDefault="00FB3D09" w:rsidP="00822842">
            <w:pPr>
              <w:rPr>
                <w:rFonts w:ascii="Times New Roman" w:hAnsi="Times New Roman"/>
                <w:sz w:val="24"/>
              </w:rPr>
            </w:pPr>
            <w:r>
              <w:rPr>
                <w:rFonts w:ascii="Times New Roman" w:hAnsi="Times New Roman"/>
                <w:sz w:val="24"/>
              </w:rPr>
              <w:t>Le esposizioni sono assegnate a una categoria appropriata dell'intervallo di PD fissato sulla base della PD stimata per ciascun debitore assegnato a questa classe di esposizioni (tenuto conto degli effetti di sostituzione dovuti all'attenuazione del rischio di credito). Gli enti associano ciascuna esposizione all'intervallo di PD indicato nel modello, tenendo conto anche di scale continue. Tutte le esposizioni in stato di default sono incluse nella categoria corrispondente alla PD del 100 %.</w:t>
            </w:r>
          </w:p>
          <w:p w14:paraId="19852B86" w14:textId="77777777" w:rsidR="00FB3D09" w:rsidRDefault="00FB3D09" w:rsidP="00822842">
            <w:pPr>
              <w:rPr>
                <w:rFonts w:ascii="Times New Roman" w:hAnsi="Times New Roman"/>
                <w:sz w:val="24"/>
              </w:rPr>
            </w:pPr>
          </w:p>
          <w:p w14:paraId="24E37937" w14:textId="77777777" w:rsidR="00FB3D09" w:rsidRPr="002A677E" w:rsidRDefault="00FB3D09" w:rsidP="00822842">
            <w:pPr>
              <w:rPr>
                <w:rFonts w:ascii="Times New Roman" w:hAnsi="Times New Roman"/>
                <w:sz w:val="24"/>
              </w:rPr>
            </w:pPr>
            <w:r>
              <w:rPr>
                <w:rFonts w:ascii="Times New Roman" w:hAnsi="Times New Roman"/>
                <w:sz w:val="24"/>
              </w:rPr>
              <w:t>Le informazioni di cui a {r0170, c0050} e {r0170, c0070} sono segnalate per ciascuna classe di esposizioni, ma non per il totale di tutte le classi di esposizioni.</w:t>
            </w:r>
          </w:p>
        </w:tc>
      </w:tr>
    </w:tbl>
    <w:p w14:paraId="3EAAC2EE"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09" w:name="_Toc19715758"/>
      <w:bookmarkStart w:id="110" w:name="_Toc151714402"/>
      <w:r>
        <w:rPr>
          <w:rFonts w:ascii="Times New Roman" w:hAnsi="Times New Roman"/>
          <w:sz w:val="24"/>
        </w:rPr>
        <w:lastRenderedPageBreak/>
        <w:t>C 08.04 - Rischio di credito e operazioni con regolamento non contestuale: metodo IRB applicato ai requisiti patrimoniali (prospetti degli RWEA (CR IRB 4))</w:t>
      </w:r>
      <w:bookmarkEnd w:id="109"/>
      <w:bookmarkEnd w:id="110"/>
    </w:p>
    <w:p w14:paraId="38050040" w14:textId="77777777" w:rsidR="00FB3D09" w:rsidRPr="002A677E" w:rsidRDefault="00FB3D09" w:rsidP="001A0ED8">
      <w:pPr>
        <w:pStyle w:val="Instructionsberschrift2"/>
        <w:numPr>
          <w:ilvl w:val="4"/>
          <w:numId w:val="21"/>
        </w:numPr>
        <w:rPr>
          <w:rFonts w:ascii="Times New Roman" w:hAnsi="Times New Roman" w:cs="Times New Roman"/>
          <w:sz w:val="24"/>
        </w:rPr>
      </w:pPr>
      <w:bookmarkStart w:id="111" w:name="_Toc19715759"/>
      <w:bookmarkStart w:id="112" w:name="_Toc151714403"/>
      <w:r>
        <w:rPr>
          <w:rFonts w:ascii="Times New Roman" w:hAnsi="Times New Roman"/>
          <w:sz w:val="24"/>
        </w:rPr>
        <w:t>Osservazioni di carattere generale</w:t>
      </w:r>
      <w:bookmarkEnd w:id="111"/>
      <w:bookmarkEnd w:id="112"/>
    </w:p>
    <w:p w14:paraId="32E75E48" w14:textId="63EF9A5C" w:rsidR="00FB3D09" w:rsidRPr="002A677E" w:rsidRDefault="00FB3D09" w:rsidP="00FB3D09">
      <w:pPr>
        <w:pStyle w:val="InstructionsText2"/>
        <w:numPr>
          <w:ilvl w:val="0"/>
          <w:numId w:val="0"/>
        </w:numPr>
        <w:ind w:left="993"/>
      </w:pPr>
      <w:r>
        <w:fldChar w:fldCharType="begin"/>
      </w:r>
      <w:r>
        <w:instrText>seq paragraphs</w:instrText>
      </w:r>
      <w:r>
        <w:fldChar w:fldCharType="separate"/>
      </w:r>
      <w:r>
        <w:t>78</w:t>
      </w:r>
      <w:r>
        <w:fldChar w:fldCharType="end"/>
      </w:r>
      <w:r>
        <w:t>. Gli enti segnalano le informazioni incluse in questo modello in applicazione dell’articolo 438, lettera h), del regolamento (UE) n. 575/2013. Da questo modello sono escluse le esposizioni soggette al rischio di controparte (CCR) (parte tre, titolo</w:t>
      </w:r>
      <w:r w:rsidR="001A0ED8">
        <w:t> </w:t>
      </w:r>
      <w:r>
        <w:t>II, capo 6, del regolamento (UE) n. 575/2013).</w:t>
      </w:r>
    </w:p>
    <w:p w14:paraId="7118D17C" w14:textId="77777777" w:rsidR="00FB3D09" w:rsidRPr="002A677E" w:rsidRDefault="00FB3D09" w:rsidP="00FB3D09">
      <w:pPr>
        <w:pStyle w:val="InstructionsText2"/>
        <w:numPr>
          <w:ilvl w:val="0"/>
          <w:numId w:val="0"/>
        </w:numPr>
        <w:ind w:left="993"/>
      </w:pPr>
      <w:r>
        <w:fldChar w:fldCharType="begin"/>
      </w:r>
      <w:r>
        <w:instrText xml:space="preserve"> seq paragraphs </w:instrText>
      </w:r>
      <w:r>
        <w:fldChar w:fldCharType="separate"/>
      </w:r>
      <w:r>
        <w:t>79</w:t>
      </w:r>
      <w:r>
        <w:fldChar w:fldCharType="end"/>
      </w:r>
      <w:r>
        <w:t xml:space="preserve">. Gli enti segnalano i flussi di RWEA come le variazioni tra gli importi delle esposizioni ponderati per il rischio alla data di riferimento e gli importi delle esposizioni ponderati per il rischio alla precedente data di riferimento. In caso di segnalazione trimestrale, è indicata la fine del trimestre precedente al trimestre della data di riferimento per le segnalazioni. </w:t>
      </w:r>
    </w:p>
    <w:p w14:paraId="60298060"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3" w:name="_Toc19715760"/>
      <w:bookmarkStart w:id="114" w:name="_Toc151714404"/>
      <w:r>
        <w:rPr>
          <w:rFonts w:ascii="Times New Roman" w:hAnsi="Times New Roman"/>
          <w:sz w:val="24"/>
        </w:rPr>
        <w:t>Istruzioni relative a posizioni specifiche</w:t>
      </w:r>
      <w:bookmarkEnd w:id="113"/>
      <w:bookmarkEnd w:id="11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0997C591" w14:textId="77777777" w:rsidTr="00822842">
        <w:tc>
          <w:tcPr>
            <w:tcW w:w="1188" w:type="dxa"/>
            <w:tcBorders>
              <w:bottom w:val="single" w:sz="4" w:space="0" w:color="auto"/>
            </w:tcBorders>
            <w:shd w:val="clear" w:color="auto" w:fill="CCCCCC"/>
          </w:tcPr>
          <w:p w14:paraId="332EC64E" w14:textId="77777777" w:rsidR="00FB3D09" w:rsidRPr="002A677E" w:rsidRDefault="00FB3D09" w:rsidP="00822842">
            <w:pPr>
              <w:rPr>
                <w:rFonts w:ascii="Times New Roman" w:hAnsi="Times New Roman"/>
                <w:sz w:val="24"/>
              </w:rPr>
            </w:pPr>
            <w:r>
              <w:rPr>
                <w:rFonts w:ascii="Times New Roman" w:hAnsi="Times New Roman"/>
                <w:sz w:val="24"/>
              </w:rPr>
              <w:t>Colonna</w:t>
            </w:r>
          </w:p>
        </w:tc>
        <w:tc>
          <w:tcPr>
            <w:tcW w:w="8843" w:type="dxa"/>
            <w:tcBorders>
              <w:bottom w:val="single" w:sz="4" w:space="0" w:color="auto"/>
            </w:tcBorders>
            <w:shd w:val="clear" w:color="auto" w:fill="CCCCCC"/>
          </w:tcPr>
          <w:p w14:paraId="247A799A" w14:textId="77777777" w:rsidR="00FB3D09" w:rsidRPr="002A677E" w:rsidRDefault="00FB3D09" w:rsidP="00822842">
            <w:pPr>
              <w:rPr>
                <w:rFonts w:ascii="Times New Roman" w:hAnsi="Times New Roman"/>
                <w:sz w:val="24"/>
              </w:rPr>
            </w:pPr>
            <w:r>
              <w:rPr>
                <w:rFonts w:ascii="Times New Roman" w:hAnsi="Times New Roman"/>
                <w:sz w:val="24"/>
              </w:rPr>
              <w:t>Istruzioni</w:t>
            </w:r>
          </w:p>
        </w:tc>
      </w:tr>
      <w:tr w:rsidR="00FB3D09" w:rsidRPr="002A677E" w14:paraId="2B589794" w14:textId="77777777" w:rsidTr="0082284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1E82FD21" w14:textId="77777777" w:rsidR="00FB3D09" w:rsidRPr="002A677E" w:rsidRDefault="00FB3D09" w:rsidP="00822842">
            <w:pPr>
              <w:rPr>
                <w:rFonts w:ascii="Times New Roman" w:hAnsi="Times New Roman"/>
                <w:sz w:val="24"/>
              </w:rPr>
            </w:pPr>
            <w:r>
              <w:rPr>
                <w:rFonts w:ascii="Times New Roman" w:hAnsi="Times New Roman"/>
                <w:sz w:val="24"/>
              </w:rPr>
              <w:t>0010</w:t>
            </w:r>
          </w:p>
          <w:p w14:paraId="2235B055" w14:textId="77777777" w:rsidR="00FB3D09" w:rsidRPr="002A677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BA827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IMPORTO DELLE ESPOSIZIONI PONDERATO PER IL RISCHIO</w:t>
            </w:r>
          </w:p>
          <w:p w14:paraId="0E2B39E4" w14:textId="77777777" w:rsidR="00FB3D09" w:rsidRPr="002A677E" w:rsidRDefault="00FB3D09" w:rsidP="00822842">
            <w:pPr>
              <w:rPr>
                <w:rFonts w:ascii="Times New Roman" w:hAnsi="Times New Roman"/>
                <w:sz w:val="24"/>
              </w:rPr>
            </w:pPr>
            <w:r>
              <w:rPr>
                <w:rFonts w:ascii="Times New Roman" w:hAnsi="Times New Roman"/>
                <w:sz w:val="24"/>
              </w:rPr>
              <w:t>Importo complessivo dell'esposizione ponderato per il rischio di credito calcolato secondo il metodo IRB, tenendo conto dei fattori di sostegno a norma degli articoli 501 e 501 bis del regolamento (UE) n. 575/2013.</w:t>
            </w:r>
          </w:p>
        </w:tc>
      </w:tr>
      <w:tr w:rsidR="00FB3D09" w:rsidRPr="002A677E" w14:paraId="4E7D65E6" w14:textId="77777777" w:rsidTr="00822842">
        <w:trPr>
          <w:trHeight w:val="338"/>
        </w:trPr>
        <w:tc>
          <w:tcPr>
            <w:tcW w:w="1188" w:type="dxa"/>
            <w:tcBorders>
              <w:top w:val="single" w:sz="4" w:space="0" w:color="auto"/>
              <w:left w:val="nil"/>
              <w:bottom w:val="nil"/>
              <w:right w:val="nil"/>
            </w:tcBorders>
            <w:shd w:val="clear" w:color="auto" w:fill="auto"/>
          </w:tcPr>
          <w:p w14:paraId="00BBCD24" w14:textId="77777777" w:rsidR="00FB3D09" w:rsidRPr="002A677E" w:rsidRDefault="00FB3D09" w:rsidP="00822842">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3FB99B08" w14:textId="77777777" w:rsidR="00FB3D09" w:rsidRPr="002A677E" w:rsidRDefault="00FB3D09" w:rsidP="00822842">
            <w:pPr>
              <w:rPr>
                <w:rFonts w:ascii="Times New Roman" w:hAnsi="Times New Roman"/>
                <w:b/>
                <w:sz w:val="24"/>
              </w:rPr>
            </w:pPr>
          </w:p>
        </w:tc>
      </w:tr>
      <w:tr w:rsidR="00FB3D09" w:rsidRPr="002A677E" w14:paraId="7ED73005" w14:textId="77777777" w:rsidTr="00822842">
        <w:tc>
          <w:tcPr>
            <w:tcW w:w="1188" w:type="dxa"/>
            <w:shd w:val="clear" w:color="auto" w:fill="CCCCCC"/>
          </w:tcPr>
          <w:p w14:paraId="3BBB0A09" w14:textId="77777777" w:rsidR="00FB3D09" w:rsidRPr="002A677E" w:rsidRDefault="00FB3D09" w:rsidP="00822842">
            <w:pPr>
              <w:rPr>
                <w:rFonts w:ascii="Times New Roman" w:hAnsi="Times New Roman"/>
                <w:sz w:val="24"/>
              </w:rPr>
            </w:pPr>
            <w:r>
              <w:rPr>
                <w:rFonts w:ascii="Times New Roman" w:hAnsi="Times New Roman"/>
                <w:sz w:val="24"/>
              </w:rPr>
              <w:t>Righe</w:t>
            </w:r>
          </w:p>
        </w:tc>
        <w:tc>
          <w:tcPr>
            <w:tcW w:w="8843" w:type="dxa"/>
            <w:shd w:val="clear" w:color="auto" w:fill="CCCCCC"/>
          </w:tcPr>
          <w:p w14:paraId="117CE12D" w14:textId="77777777" w:rsidR="00FB3D09" w:rsidRPr="002A677E" w:rsidRDefault="00FB3D09" w:rsidP="00822842">
            <w:pPr>
              <w:rPr>
                <w:rFonts w:ascii="Times New Roman" w:hAnsi="Times New Roman"/>
                <w:sz w:val="24"/>
              </w:rPr>
            </w:pPr>
            <w:r>
              <w:rPr>
                <w:rFonts w:ascii="Times New Roman" w:hAnsi="Times New Roman"/>
                <w:sz w:val="24"/>
              </w:rPr>
              <w:t>Istruzioni</w:t>
            </w:r>
          </w:p>
        </w:tc>
      </w:tr>
      <w:tr w:rsidR="00FB3D09" w:rsidRPr="002A677E" w14:paraId="1452B7A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05A2442" w14:textId="77777777" w:rsidR="00FB3D09" w:rsidRPr="002A677E" w:rsidRDefault="00FB3D09" w:rsidP="00822842">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D2DB5F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IMPORTO DELL'ESPOSIZIONE PONDERATO PER IL RISCHIO ALLA FINE DEL PRECEDENTE PERIODO DI RIFERIMENTO PER LE SEGNALAZIONI</w:t>
            </w:r>
          </w:p>
          <w:p w14:paraId="1DA9C0B6" w14:textId="77777777" w:rsidR="00FB3D09" w:rsidRPr="002A677E" w:rsidRDefault="00FB3D09" w:rsidP="00822842">
            <w:pPr>
              <w:rPr>
                <w:rFonts w:ascii="Times New Roman" w:hAnsi="Times New Roman"/>
                <w:sz w:val="24"/>
              </w:rPr>
            </w:pPr>
            <w:r>
              <w:rPr>
                <w:rFonts w:ascii="Times New Roman" w:hAnsi="Times New Roman"/>
                <w:sz w:val="24"/>
              </w:rPr>
              <w:t>Importo dell'esposizione ponderato per il rischio al termine del precedente periodo di riferimento per le segnalazioni dopo l'applicazione dei fattori di sostegno alle PMI e alle infrastrutture di cui agli articoli 501 e 501 bis del regolamento (UE) n. 575/2013</w:t>
            </w:r>
          </w:p>
        </w:tc>
      </w:tr>
      <w:tr w:rsidR="00FB3D09" w:rsidRPr="002A677E" w14:paraId="512A9B2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45C1141"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0EBC1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DIMENSIONI DELLE ATTIVITÀ (+/-)</w:t>
            </w:r>
          </w:p>
          <w:p w14:paraId="1F51764D" w14:textId="77777777" w:rsidR="00FB3D09" w:rsidRPr="002A677E" w:rsidRDefault="00FB3D09" w:rsidP="00822842">
            <w:pPr>
              <w:rPr>
                <w:rFonts w:ascii="Times New Roman" w:hAnsi="Times New Roman"/>
                <w:sz w:val="24"/>
              </w:rPr>
            </w:pPr>
            <w:r>
              <w:rPr>
                <w:rFonts w:ascii="Times New Roman" w:hAnsi="Times New Roman"/>
                <w:sz w:val="24"/>
              </w:rPr>
              <w:t>Variazione dell'importo dell'esposizione ponderato per il rischio tra la fine del precedente periodo di riferimento per le segnalazioni e la fine di quello corrente, dovuta alle dimensioni delle attività, ossia modifiche organiche delle dimensioni e della composizione del portafoglio (compresa la creazione di nuove attività e prestiti in scadenza), ma escluse le variazioni delle dimensioni del portafoglio dovute ad acquisizioni e dismissioni di soggetti</w:t>
            </w:r>
          </w:p>
          <w:p w14:paraId="13341C33" w14:textId="77777777" w:rsidR="00FB3D09" w:rsidRPr="002A677E" w:rsidRDefault="00FB3D09" w:rsidP="00822842">
            <w:pPr>
              <w:rPr>
                <w:rFonts w:ascii="Times New Roman" w:hAnsi="Times New Roman"/>
                <w:sz w:val="24"/>
              </w:rPr>
            </w:pPr>
            <w:r>
              <w:rPr>
                <w:rFonts w:ascii="Times New Roman" w:hAnsi="Times New Roman"/>
                <w:sz w:val="24"/>
              </w:rPr>
              <w:t>Gli aumenti degli importi delle esposizioni ponderati per il rischio sono segnalati come importo positivo e le diminuzioni degli importi delle esposizioni ponderati per il rischio sono segnalate come importo negativo.</w:t>
            </w:r>
          </w:p>
        </w:tc>
      </w:tr>
      <w:tr w:rsidR="00FB3D09" w:rsidRPr="002A677E" w14:paraId="17C5A8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A8F2412"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67BEE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QUALITÀ DELLE ATTIVITÀ (+/-)</w:t>
            </w:r>
          </w:p>
          <w:p w14:paraId="77126645" w14:textId="77777777" w:rsidR="00FB3D09" w:rsidRPr="002A677E" w:rsidRDefault="00FB3D09" w:rsidP="00822842">
            <w:pPr>
              <w:rPr>
                <w:rFonts w:ascii="Times New Roman" w:hAnsi="Times New Roman"/>
                <w:sz w:val="24"/>
              </w:rPr>
            </w:pPr>
            <w:r>
              <w:rPr>
                <w:rFonts w:ascii="Times New Roman" w:hAnsi="Times New Roman"/>
                <w:sz w:val="24"/>
              </w:rPr>
              <w:t xml:space="preserve">Variazione dell'importo dell'esposizione ponderato per il rischio tra la fine del precedente periodo di riferimento per le segnalazioni e la fine di quello corrente, dovuta alla qualità </w:t>
            </w:r>
            <w:r>
              <w:rPr>
                <w:rFonts w:ascii="Times New Roman" w:hAnsi="Times New Roman"/>
                <w:sz w:val="24"/>
              </w:rPr>
              <w:lastRenderedPageBreak/>
              <w:t>delle attività, ossia modifiche nella valutazione della qualità delle attività dell'ente dovute a variazioni del rischio del debitore, quali la migrazione della classe di rating o effetti analoghi</w:t>
            </w:r>
          </w:p>
          <w:p w14:paraId="17EA6F89" w14:textId="77777777" w:rsidR="00FB3D09" w:rsidRPr="002A677E" w:rsidRDefault="00FB3D09" w:rsidP="00822842">
            <w:pPr>
              <w:rPr>
                <w:rFonts w:ascii="Times New Roman" w:hAnsi="Times New Roman"/>
                <w:sz w:val="24"/>
              </w:rPr>
            </w:pPr>
            <w:r>
              <w:rPr>
                <w:rFonts w:ascii="Times New Roman" w:hAnsi="Times New Roman"/>
                <w:sz w:val="24"/>
              </w:rPr>
              <w:t>Gli aumenti degli importi delle esposizioni ponderati per il rischio sono segnalati come importo positivo e le diminuzioni degli importi delle esposizioni ponderati per il rischio sono segnalate come importo negativo.</w:t>
            </w:r>
          </w:p>
        </w:tc>
      </w:tr>
      <w:tr w:rsidR="00FB3D09" w:rsidRPr="002A677E" w14:paraId="6AF2D12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4CBAC13" w14:textId="77777777" w:rsidR="00FB3D09" w:rsidRPr="002A677E" w:rsidRDefault="00FB3D09" w:rsidP="00822842">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9509BA"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AGGIORNAMENTI DEL MODELLO (+/-)</w:t>
            </w:r>
          </w:p>
          <w:p w14:paraId="44A30095" w14:textId="77777777" w:rsidR="00FB3D09" w:rsidRPr="002A677E" w:rsidRDefault="00FB3D09" w:rsidP="00822842">
            <w:pPr>
              <w:rPr>
                <w:rFonts w:ascii="Times New Roman" w:hAnsi="Times New Roman"/>
                <w:sz w:val="24"/>
              </w:rPr>
            </w:pPr>
            <w:r>
              <w:rPr>
                <w:rFonts w:ascii="Times New Roman" w:hAnsi="Times New Roman"/>
                <w:sz w:val="24"/>
              </w:rPr>
              <w:t>Variazione dell'importo dell'esposizione ponderato per il rischio tra la fine del precedente periodo di riferimento per le segnalazioni e la fine di quello corrente, dovuta ad aggiornamenti dei modelli, ossia modifiche dovute all'attuazione di nuovi modelli, modifiche dei modelli, modifiche dell'ambito di applicazione del modello o qualsiasi altra modifica intesa a ovviare alle debolezze del modello</w:t>
            </w:r>
          </w:p>
          <w:p w14:paraId="3C5A3011" w14:textId="77777777" w:rsidR="00FB3D09" w:rsidRPr="002A677E" w:rsidRDefault="00FB3D09" w:rsidP="00822842">
            <w:pPr>
              <w:rPr>
                <w:rFonts w:ascii="Times New Roman" w:hAnsi="Times New Roman"/>
                <w:sz w:val="24"/>
              </w:rPr>
            </w:pPr>
            <w:r>
              <w:rPr>
                <w:rFonts w:ascii="Times New Roman" w:hAnsi="Times New Roman"/>
                <w:sz w:val="24"/>
              </w:rPr>
              <w:t>Gli aumenti degli importi delle esposizioni ponderati per il rischio sono segnalati come importo positivo e le diminuzioni degli importi delle esposizioni ponderati per il rischio sono segnalate come importo negativo.</w:t>
            </w:r>
          </w:p>
        </w:tc>
      </w:tr>
      <w:tr w:rsidR="00FB3D09" w:rsidRPr="002A677E" w14:paraId="538C412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04E5189"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79AA73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METODOLOGIA E POLITICA (+/-)</w:t>
            </w:r>
          </w:p>
          <w:p w14:paraId="630D0C5E" w14:textId="77777777" w:rsidR="00FB3D09" w:rsidRPr="002A677E" w:rsidRDefault="00FB3D09" w:rsidP="00822842">
            <w:pPr>
              <w:rPr>
                <w:rFonts w:ascii="Times New Roman" w:hAnsi="Times New Roman"/>
                <w:sz w:val="24"/>
              </w:rPr>
            </w:pPr>
            <w:r>
              <w:rPr>
                <w:rFonts w:ascii="Times New Roman" w:hAnsi="Times New Roman"/>
                <w:sz w:val="24"/>
              </w:rPr>
              <w:t xml:space="preserve">Variazione dell'importo dell'esposizione ponderato per il rischio tra la fine del precedente periodo di riferimento per le segnalazioni e la fine di quello corrente, dovuta alla metodologia e alla politica, ossia variazioni dovute a modifiche metodologiche nei calcoli derivanti da modifiche della politica normativa, comprese le revisioni dei regolamenti vigenti e i nuovi regolamenti, escluse le modifiche dei modelli, che sono incluse nella riga 0040 </w:t>
            </w:r>
          </w:p>
          <w:p w14:paraId="06A06D42" w14:textId="77777777" w:rsidR="00FB3D09" w:rsidRPr="002A677E" w:rsidRDefault="00FB3D09" w:rsidP="00822842">
            <w:pPr>
              <w:rPr>
                <w:rFonts w:ascii="Times New Roman" w:hAnsi="Times New Roman"/>
                <w:sz w:val="24"/>
              </w:rPr>
            </w:pPr>
            <w:r>
              <w:rPr>
                <w:rFonts w:ascii="Times New Roman" w:hAnsi="Times New Roman"/>
                <w:sz w:val="24"/>
              </w:rPr>
              <w:t>Gli aumenti degli importi delle esposizioni ponderati per il rischio sono segnalati come importo positivo e le diminuzioni degli importi delle esposizioni ponderati per il rischio sono segnalate come importo negativo.</w:t>
            </w:r>
          </w:p>
        </w:tc>
      </w:tr>
      <w:tr w:rsidR="00FB3D09" w:rsidRPr="002A677E" w14:paraId="1DA6488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ACA6F9"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8E799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ACQUISIZIONI E DISMISSIONI (+/-)</w:t>
            </w:r>
          </w:p>
          <w:p w14:paraId="3CDAAB15" w14:textId="77777777" w:rsidR="00FB3D09" w:rsidRPr="002A677E" w:rsidRDefault="00FB3D09" w:rsidP="00822842">
            <w:pPr>
              <w:rPr>
                <w:rFonts w:ascii="Times New Roman" w:hAnsi="Times New Roman"/>
                <w:sz w:val="24"/>
              </w:rPr>
            </w:pPr>
            <w:r>
              <w:rPr>
                <w:rFonts w:ascii="Times New Roman" w:hAnsi="Times New Roman"/>
                <w:sz w:val="24"/>
              </w:rPr>
              <w:t>Variazione dell'importo dell'esposizione ponderato per il rischio tra la fine del precedente periodo di riferimento per le segnalazioni e la fine di quello corrente, a causa di acquisizioni e cessioni, ossia modifiche delle dimensioni del portafoglio dovute ad acquisizioni e dismissioni di soggetti</w:t>
            </w:r>
          </w:p>
          <w:p w14:paraId="2BE224B0" w14:textId="77777777" w:rsidR="00FB3D09" w:rsidRPr="002A677E" w:rsidRDefault="00FB3D09" w:rsidP="00822842">
            <w:pPr>
              <w:rPr>
                <w:rFonts w:ascii="Times New Roman" w:hAnsi="Times New Roman"/>
                <w:sz w:val="24"/>
              </w:rPr>
            </w:pPr>
            <w:r>
              <w:rPr>
                <w:rFonts w:ascii="Times New Roman" w:hAnsi="Times New Roman"/>
                <w:sz w:val="24"/>
              </w:rPr>
              <w:t>Gli aumenti degli importi delle esposizioni ponderati per il rischio sono segnalati come importo positivo e le diminuzioni degli importi delle esposizioni ponderati per il rischio sono segnalate come importo negativo.</w:t>
            </w:r>
          </w:p>
        </w:tc>
      </w:tr>
      <w:tr w:rsidR="00FB3D09" w:rsidRPr="002A677E" w14:paraId="09BBCEC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396605" w14:textId="77777777" w:rsidR="00FB3D09" w:rsidRPr="002A677E" w:rsidRDefault="00FB3D09" w:rsidP="00822842">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80B94C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OSCILLAZIONI DEL CAMBIO (+/-)</w:t>
            </w:r>
          </w:p>
          <w:p w14:paraId="5F574A4B" w14:textId="77777777" w:rsidR="00FB3D09" w:rsidRPr="002A677E" w:rsidRDefault="00FB3D09" w:rsidP="00822842">
            <w:pPr>
              <w:rPr>
                <w:rFonts w:ascii="Times New Roman" w:hAnsi="Times New Roman"/>
                <w:sz w:val="24"/>
              </w:rPr>
            </w:pPr>
            <w:r>
              <w:rPr>
                <w:rFonts w:ascii="Times New Roman" w:hAnsi="Times New Roman"/>
                <w:sz w:val="24"/>
              </w:rPr>
              <w:t>Variazione dell'importo dell'esposizione ponderato per il rischio tra la fine del precedente periodo di riferimento per le segnalazioni e la fine di quello corrente, dovuta a oscillazioni del cambio, ossia a variazioni derivanti da oscillazioni della conversione in valuta</w:t>
            </w:r>
          </w:p>
          <w:p w14:paraId="32C9FB56" w14:textId="77777777" w:rsidR="00FB3D09" w:rsidRPr="002A677E" w:rsidRDefault="00FB3D09" w:rsidP="00822842">
            <w:pPr>
              <w:rPr>
                <w:rFonts w:ascii="Times New Roman" w:hAnsi="Times New Roman"/>
                <w:sz w:val="24"/>
              </w:rPr>
            </w:pPr>
            <w:r>
              <w:rPr>
                <w:rFonts w:ascii="Times New Roman" w:hAnsi="Times New Roman"/>
                <w:sz w:val="24"/>
              </w:rPr>
              <w:t>Gli aumenti degli importi delle esposizioni ponderati per il rischio sono segnalati come importo positivo e le diminuzioni degli importi delle esposizioni ponderati per il rischio sono segnalate come importo negativo.</w:t>
            </w:r>
          </w:p>
        </w:tc>
      </w:tr>
      <w:tr w:rsidR="00FB3D09" w:rsidRPr="002A677E" w14:paraId="3535A9E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4F8C5DF" w14:textId="77777777" w:rsidR="00FB3D09" w:rsidRPr="002A677E" w:rsidRDefault="00FB3D09" w:rsidP="00822842">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6CBAF1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ALTRO (+/-)</w:t>
            </w:r>
          </w:p>
          <w:p w14:paraId="5F09C0BA" w14:textId="77777777" w:rsidR="00FB3D09" w:rsidRPr="002A677E" w:rsidRDefault="00FB3D09" w:rsidP="00822842">
            <w:pPr>
              <w:rPr>
                <w:rFonts w:ascii="Times New Roman" w:hAnsi="Times New Roman"/>
                <w:sz w:val="24"/>
              </w:rPr>
            </w:pPr>
            <w:r>
              <w:rPr>
                <w:rFonts w:ascii="Times New Roman" w:hAnsi="Times New Roman"/>
                <w:sz w:val="24"/>
              </w:rPr>
              <w:lastRenderedPageBreak/>
              <w:t>Variazione dell'importo dell'esposizione ponderato per il rischio tra la fine del precedente periodo di riferimento per le segnalazioni e la fine di quello corrente, dovuta ad altri fattori</w:t>
            </w:r>
          </w:p>
          <w:p w14:paraId="14338D91" w14:textId="77777777" w:rsidR="00FB3D09" w:rsidRPr="002A677E" w:rsidRDefault="00FB3D09" w:rsidP="00822842">
            <w:pPr>
              <w:rPr>
                <w:rFonts w:ascii="Times New Roman" w:hAnsi="Times New Roman"/>
                <w:sz w:val="24"/>
              </w:rPr>
            </w:pPr>
            <w:r>
              <w:rPr>
                <w:rFonts w:ascii="Times New Roman" w:hAnsi="Times New Roman"/>
                <w:sz w:val="24"/>
              </w:rPr>
              <w:t xml:space="preserve">Questa categoria è utilizzata per rilevare le variazioni che non possono essere attribuite a nessun'altra categoria. </w:t>
            </w:r>
          </w:p>
          <w:p w14:paraId="18CAC008" w14:textId="77777777" w:rsidR="00FB3D09" w:rsidRPr="002A677E" w:rsidRDefault="00FB3D09" w:rsidP="00822842">
            <w:pPr>
              <w:rPr>
                <w:rFonts w:ascii="Times New Roman" w:hAnsi="Times New Roman"/>
                <w:sz w:val="24"/>
              </w:rPr>
            </w:pPr>
            <w:r>
              <w:rPr>
                <w:rFonts w:ascii="Times New Roman" w:hAnsi="Times New Roman"/>
                <w:sz w:val="24"/>
              </w:rPr>
              <w:t>Gli aumenti degli importi delle esposizioni ponderati per il rischio sono segnalati come importo positivo e le diminuzioni degli importi delle esposizioni ponderati per il rischio sono segnalate come importo negativo.</w:t>
            </w:r>
          </w:p>
        </w:tc>
      </w:tr>
      <w:tr w:rsidR="00FB3D09" w:rsidRPr="002A677E" w14:paraId="0BDA1D0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C3E931" w14:textId="77777777" w:rsidR="00FB3D09" w:rsidRPr="002A677E" w:rsidRDefault="00FB3D09" w:rsidP="00822842">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4D5FAA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IMPORTO DELL'ESPOSIZIONE PONDERATO PER IL RISCHIO ALLA FINE DEL PERIODO DI RIFERIMENTO PER LE SEGNALAZIONI</w:t>
            </w:r>
          </w:p>
          <w:p w14:paraId="1FFEC50C" w14:textId="77777777" w:rsidR="00FB3D09" w:rsidRPr="002A677E" w:rsidRDefault="00FB3D09" w:rsidP="00822842">
            <w:pPr>
              <w:pStyle w:val="CommentText"/>
            </w:pPr>
            <w:r>
              <w:rPr>
                <w:rFonts w:ascii="Times New Roman" w:hAnsi="Times New Roman"/>
                <w:sz w:val="24"/>
              </w:rPr>
              <w:t>Importo dell'esposizione ponderato per il rischio nel periodo di riferimento per le segnalazioni dopo l'applicazione dei fattori di sostegno alle PMI e alle infrastrutture di cui agli articoli 501 e 501 bis del regolamento (UE) n. 575/2013</w:t>
            </w:r>
          </w:p>
        </w:tc>
      </w:tr>
    </w:tbl>
    <w:p w14:paraId="49993E55"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15" w:name="_Toc19715761"/>
      <w:bookmarkStart w:id="116" w:name="_Toc151714405"/>
      <w:r>
        <w:rPr>
          <w:rFonts w:ascii="Times New Roman" w:hAnsi="Times New Roman"/>
          <w:sz w:val="24"/>
        </w:rPr>
        <w:t>C 08.05 - Rischio di credito e operazioni con regolamento non contestuale: metodo IRB applicato ai requisiti patrimoniali (test retrospettivi della PD (CR IRB 5))</w:t>
      </w:r>
      <w:bookmarkEnd w:id="115"/>
      <w:bookmarkEnd w:id="116"/>
    </w:p>
    <w:p w14:paraId="16F92F14"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7" w:name="_Toc19715762"/>
      <w:bookmarkStart w:id="118" w:name="_Toc151714406"/>
      <w:r>
        <w:rPr>
          <w:rFonts w:ascii="Times New Roman" w:hAnsi="Times New Roman"/>
          <w:sz w:val="24"/>
        </w:rPr>
        <w:t>Osservazioni di carattere generale</w:t>
      </w:r>
      <w:bookmarkEnd w:id="117"/>
      <w:bookmarkEnd w:id="118"/>
    </w:p>
    <w:p w14:paraId="708FD0D4"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80</w:t>
      </w:r>
      <w:r>
        <w:fldChar w:fldCharType="end"/>
      </w:r>
      <w:r>
        <w:t>. Gli enti segnalano le informazioni incluse in questo modello in applicazione dell’articolo 452, lettera h), del regolamento (UE) n. 575/2013. L'ente prende in considerazione i modelli utilizzati nell'ambito di ciascuna classe di esposizioni e spiega la percentuale dell'importo dell'esposizione ponderato per il rischio della classe di esposizioni pertinente coperta dai modelli per la quale sono segnalati qui i risultati dei test retrospettivi. Da questo modello sono escluse le esposizioni soggette al rischio di controparte (CCR) (parte tre, titolo II, capo 6, del regolamento (UE) n. 575/2013).</w:t>
      </w:r>
    </w:p>
    <w:p w14:paraId="584B488E"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9" w:name="_Toc19715763"/>
      <w:bookmarkStart w:id="120" w:name="_Toc151714407"/>
      <w:r>
        <w:rPr>
          <w:rFonts w:ascii="Times New Roman" w:hAnsi="Times New Roman"/>
          <w:sz w:val="24"/>
        </w:rPr>
        <w:t>Istruzioni relative a posizioni specifiche</w:t>
      </w:r>
      <w:bookmarkEnd w:id="119"/>
      <w:bookmarkEnd w:id="1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768D8734" w14:textId="77777777" w:rsidTr="00822842">
        <w:tc>
          <w:tcPr>
            <w:tcW w:w="1188" w:type="dxa"/>
            <w:shd w:val="clear" w:color="auto" w:fill="CCCCCC"/>
          </w:tcPr>
          <w:p w14:paraId="5B2B4D05" w14:textId="77777777" w:rsidR="00FB3D09" w:rsidRPr="002A677E" w:rsidRDefault="00FB3D09" w:rsidP="00822842">
            <w:pPr>
              <w:rPr>
                <w:rFonts w:ascii="Times New Roman" w:hAnsi="Times New Roman"/>
                <w:sz w:val="24"/>
              </w:rPr>
            </w:pPr>
            <w:r>
              <w:rPr>
                <w:rFonts w:ascii="Times New Roman" w:hAnsi="Times New Roman"/>
                <w:sz w:val="24"/>
              </w:rPr>
              <w:t>Colonne</w:t>
            </w:r>
          </w:p>
        </w:tc>
        <w:tc>
          <w:tcPr>
            <w:tcW w:w="8843" w:type="dxa"/>
            <w:shd w:val="clear" w:color="auto" w:fill="CCCCCC"/>
          </w:tcPr>
          <w:p w14:paraId="2736A610" w14:textId="77777777" w:rsidR="00FB3D09" w:rsidRPr="002A677E" w:rsidRDefault="00FB3D09" w:rsidP="00822842">
            <w:pPr>
              <w:rPr>
                <w:rFonts w:ascii="Times New Roman" w:hAnsi="Times New Roman"/>
                <w:sz w:val="24"/>
              </w:rPr>
            </w:pPr>
            <w:r>
              <w:rPr>
                <w:rFonts w:ascii="Times New Roman" w:hAnsi="Times New Roman"/>
                <w:sz w:val="24"/>
              </w:rPr>
              <w:t>Istruzioni</w:t>
            </w:r>
          </w:p>
        </w:tc>
      </w:tr>
      <w:tr w:rsidR="00FB3D09" w:rsidRPr="002A677E" w14:paraId="543ACB4E"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E88DC77" w14:textId="77777777" w:rsidR="00FB3D09" w:rsidRPr="002A677E" w:rsidRDefault="00FB3D09" w:rsidP="00822842">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7E7D6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PD MEDIA ARITMETICA (%)</w:t>
            </w:r>
          </w:p>
          <w:p w14:paraId="369D866D" w14:textId="77777777" w:rsidR="00FB3D09" w:rsidRPr="002A677E" w:rsidRDefault="00FB3D09" w:rsidP="00822842">
            <w:pPr>
              <w:rPr>
                <w:rFonts w:ascii="Times New Roman" w:hAnsi="Times New Roman"/>
                <w:b/>
                <w:sz w:val="24"/>
              </w:rPr>
            </w:pPr>
            <w:r>
              <w:rPr>
                <w:rFonts w:ascii="Times New Roman" w:hAnsi="Times New Roman"/>
                <w:sz w:val="24"/>
              </w:rPr>
              <w:t>Media aritmetica della PD all'inizio del periodo di riferimento per le segnalazioni dei debitori che rientrano nella categoria dell'intervallo di PD fissato e contati nella colonna 0020 (media ponderata per il numero di debitori)</w:t>
            </w:r>
          </w:p>
        </w:tc>
      </w:tr>
      <w:tr w:rsidR="00FB3D09" w:rsidRPr="002A677E" w14:paraId="2E5C530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E9642A7"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88004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NUMERO DI DEBITORI ALLA FINE DELL'ANNO PRECEDENTE</w:t>
            </w:r>
          </w:p>
          <w:p w14:paraId="1D7F3DCC" w14:textId="77777777" w:rsidR="00FB3D09" w:rsidRPr="002A677E" w:rsidRDefault="00FB3D09" w:rsidP="00822842">
            <w:pPr>
              <w:rPr>
                <w:rFonts w:ascii="Times New Roman" w:hAnsi="Times New Roman"/>
                <w:sz w:val="24"/>
              </w:rPr>
            </w:pPr>
            <w:r>
              <w:rPr>
                <w:rFonts w:ascii="Times New Roman" w:hAnsi="Times New Roman"/>
                <w:sz w:val="24"/>
              </w:rPr>
              <w:t xml:space="preserve">Numero di debitori alla fine dell'anno precedente soggetti a segnalazione </w:t>
            </w:r>
          </w:p>
          <w:p w14:paraId="35726FB6" w14:textId="77777777" w:rsidR="00FB3D09" w:rsidRPr="002A677E" w:rsidRDefault="00FB3D09" w:rsidP="00822842">
            <w:pPr>
              <w:rPr>
                <w:rFonts w:ascii="Times New Roman" w:hAnsi="Times New Roman"/>
                <w:sz w:val="24"/>
              </w:rPr>
            </w:pPr>
            <w:r>
              <w:rPr>
                <w:rFonts w:ascii="Times New Roman" w:hAnsi="Times New Roman"/>
                <w:sz w:val="24"/>
              </w:rPr>
              <w:t xml:space="preserve">Sono inclusi tutti i debitori che hanno un'obbligazione creditizia al momento pertinente. </w:t>
            </w:r>
          </w:p>
          <w:p w14:paraId="0234603A" w14:textId="77777777" w:rsidR="00FB3D09" w:rsidRPr="002A677E" w:rsidRDefault="00FB3D09" w:rsidP="00822842">
            <w:pPr>
              <w:rPr>
                <w:rFonts w:ascii="Times New Roman" w:hAnsi="Times New Roman"/>
                <w:sz w:val="24"/>
              </w:rPr>
            </w:pPr>
            <w:r>
              <w:rPr>
                <w:rFonts w:ascii="Times New Roman" w:hAnsi="Times New Roman"/>
                <w:sz w:val="24"/>
              </w:rPr>
              <w:t>Il numero dei debitori è conteggiato conformemente alle istruzioni riportate nella colonna 0300 del modello C 08.01. I debitori congiunti sono trattati come ai fini della calibratura della PD.</w:t>
            </w:r>
          </w:p>
        </w:tc>
      </w:tr>
      <w:tr w:rsidR="00FB3D09" w:rsidRPr="002A677E" w14:paraId="14CA9E0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6E94793"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E6BA6B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DI CUI: PASSATI IN STATO DI DEFAULT NEL CORSO DELL'ANNO</w:t>
            </w:r>
          </w:p>
          <w:p w14:paraId="62E6E1C3"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lastRenderedPageBreak/>
              <w:t xml:space="preserve">Numero di debitori che sono passati in stato di default nel corso dell'anno (ossia il periodo di osservazione del calcolo del tasso di default) </w:t>
            </w:r>
          </w:p>
          <w:p w14:paraId="4E6FF3A5" w14:textId="2AD0711E"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I default sono determinati conformemente all’articolo 178 del regolamento (UE) n.</w:t>
            </w:r>
            <w:r w:rsidR="001A0ED8">
              <w:rPr>
                <w:rFonts w:ascii="Times New Roman" w:hAnsi="Times New Roman"/>
                <w:sz w:val="24"/>
              </w:rPr>
              <w:t> </w:t>
            </w:r>
            <w:r>
              <w:rPr>
                <w:rFonts w:ascii="Times New Roman" w:hAnsi="Times New Roman"/>
                <w:sz w:val="24"/>
              </w:rPr>
              <w:t xml:space="preserve">575/2013. </w:t>
            </w:r>
          </w:p>
          <w:p w14:paraId="37E2D9CF" w14:textId="77777777" w:rsidR="00FB3D09" w:rsidRPr="002A677E" w:rsidRDefault="00FB3D09" w:rsidP="00822842">
            <w:pPr>
              <w:rPr>
                <w:rFonts w:ascii="Times New Roman" w:hAnsi="Times New Roman"/>
                <w:b/>
                <w:sz w:val="24"/>
                <w:u w:val="single"/>
              </w:rPr>
            </w:pPr>
            <w:r>
              <w:rPr>
                <w:rFonts w:ascii="Times New Roman" w:hAnsi="Times New Roman"/>
                <w:sz w:val="24"/>
              </w:rPr>
              <w:t>Ogni debitore che è passato in stato di default è conteggiato una sola volta nel numeratore e nel denominatore del calcolo del tasso annuale di default, anche se il debitore ha registrato più di un default nel pertinente periodo di un anno.</w:t>
            </w:r>
          </w:p>
        </w:tc>
      </w:tr>
      <w:tr w:rsidR="00FB3D09" w:rsidRPr="002A677E" w14:paraId="5FAAFE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1C9B54" w14:textId="77777777" w:rsidR="00FB3D09" w:rsidRPr="002A677E" w:rsidRDefault="00FB3D09" w:rsidP="00822842">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07FAED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TASSO MEDIO DI DEFAULT OSSERVATO (%)</w:t>
            </w:r>
          </w:p>
          <w:p w14:paraId="2D64742F"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Tasso annuale di default di cui all’articolo 4, paragrafo 1, punto 78, del regolamento (UE) n. 575/2013</w:t>
            </w:r>
          </w:p>
          <w:p w14:paraId="01C9FA62"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Gli enti assicurano:</w:t>
            </w:r>
          </w:p>
          <w:p w14:paraId="3C9723C5"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a) che il denominatore è costituito dal numero di debitori non in default con un'obbligazione creditizia osservato all'inizio del periodo di osservazione di un anno (ossia l'inizio dell'anno precedente la data di riferimento per le segnalazioni); in questo contesto, per obbligazione creditizia si intende quanto segue: i) qualsiasi elemento in bilancio, compreso l'importo del capitale, degli interessi e delle commissioni; ii) qualsiasi elemento fuori bilancio, comprese le garanzie emesse dall'ente in qualità di garante;</w:t>
            </w:r>
          </w:p>
          <w:p w14:paraId="0D440FD1" w14:textId="77777777" w:rsidR="00FB3D09" w:rsidRPr="002A677E" w:rsidRDefault="00FB3D09" w:rsidP="00822842">
            <w:pPr>
              <w:rPr>
                <w:rFonts w:ascii="Times New Roman" w:hAnsi="Times New Roman"/>
                <w:sz w:val="24"/>
              </w:rPr>
            </w:pPr>
            <w:r>
              <w:rPr>
                <w:rFonts w:ascii="Times New Roman" w:hAnsi="Times New Roman"/>
                <w:sz w:val="24"/>
              </w:rPr>
              <w:t>b) che il numeratore comprenda tutti i debitori considerati nel denominatore che hanno avuto almeno un evento di default durante il periodo di osservazione di un anno (anno precedente la data di riferimento per le segnalazioni).</w:t>
            </w:r>
          </w:p>
          <w:p w14:paraId="071F87D7" w14:textId="77777777" w:rsidR="00FB3D09" w:rsidRPr="002A677E" w:rsidRDefault="00FB3D09" w:rsidP="00822842">
            <w:pPr>
              <w:rPr>
                <w:rFonts w:ascii="Times New Roman" w:hAnsi="Times New Roman"/>
                <w:sz w:val="24"/>
              </w:rPr>
            </w:pPr>
            <w:r>
              <w:rPr>
                <w:rFonts w:ascii="Times New Roman" w:hAnsi="Times New Roman"/>
                <w:sz w:val="24"/>
              </w:rPr>
              <w:t>Per quanto riguarda il calcolo del numero di debitori, cfr. colonna 0300 del modello C 08.01.</w:t>
            </w:r>
          </w:p>
        </w:tc>
      </w:tr>
      <w:tr w:rsidR="00FB3D09" w:rsidRPr="002A677E" w14:paraId="5135E71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DF05639"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289762" w14:textId="77777777" w:rsidR="00FB3D09" w:rsidRPr="002A677E" w:rsidRDefault="00FB3D09" w:rsidP="00822842">
            <w:pPr>
              <w:rPr>
                <w:rFonts w:ascii="Times New Roman" w:hAnsi="Times New Roman"/>
                <w:sz w:val="24"/>
                <w:u w:val="single"/>
              </w:rPr>
            </w:pPr>
            <w:r>
              <w:rPr>
                <w:rFonts w:ascii="Times New Roman" w:hAnsi="Times New Roman"/>
                <w:b/>
                <w:sz w:val="24"/>
                <w:u w:val="single"/>
              </w:rPr>
              <w:t>TASSO DI DEFAULT ANNUO STORICO MEDIO (%)</w:t>
            </w:r>
          </w:p>
          <w:p w14:paraId="584459CD" w14:textId="77777777" w:rsidR="00FB3D09" w:rsidRPr="002A677E" w:rsidRDefault="00FB3D09" w:rsidP="00822842">
            <w:pPr>
              <w:rPr>
                <w:rFonts w:ascii="Times New Roman" w:hAnsi="Times New Roman"/>
                <w:sz w:val="24"/>
              </w:rPr>
            </w:pPr>
            <w:r>
              <w:rPr>
                <w:rFonts w:ascii="Times New Roman" w:hAnsi="Times New Roman"/>
                <w:sz w:val="24"/>
              </w:rPr>
              <w:t>La media semplice del tasso annuale di default dei cinque anni più recenti (debitori all'inizio di ogni anno che sono in stato di default durante quell'anno/debitori totali all'inizio dell'anno) è un minimo. L'ente può utilizzare un periodo storico più lungo, coerente con le proprie prassi effettive di gestione del rischio.</w:t>
            </w:r>
          </w:p>
        </w:tc>
      </w:tr>
    </w:tbl>
    <w:p w14:paraId="1BEF1A20" w14:textId="77777777" w:rsidR="00FB3D09" w:rsidRPr="002A677E" w:rsidRDefault="00FB3D09" w:rsidP="00FB3D09">
      <w:pPr>
        <w:pStyle w:val="InstructionsText2"/>
        <w:numPr>
          <w:ilvl w:val="0"/>
          <w:numId w:val="0"/>
        </w:numPr>
        <w:ind w:left="99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6"/>
        <w:gridCol w:w="8092"/>
      </w:tblGrid>
      <w:tr w:rsidR="00FB3D09" w:rsidRPr="002A677E" w14:paraId="1B84D0E8" w14:textId="77777777" w:rsidTr="00822842">
        <w:tc>
          <w:tcPr>
            <w:tcW w:w="1271" w:type="dxa"/>
            <w:shd w:val="clear" w:color="auto" w:fill="auto"/>
          </w:tcPr>
          <w:p w14:paraId="3EC9FD04" w14:textId="77777777" w:rsidR="00FB3D09" w:rsidRPr="002A677E" w:rsidRDefault="00FB3D09" w:rsidP="00822842">
            <w:pPr>
              <w:rPr>
                <w:rFonts w:ascii="Times New Roman" w:hAnsi="Times New Roman"/>
                <w:sz w:val="24"/>
              </w:rPr>
            </w:pPr>
            <w:r>
              <w:rPr>
                <w:rFonts w:ascii="Times New Roman" w:hAnsi="Times New Roman"/>
                <w:sz w:val="24"/>
              </w:rPr>
              <w:t>Righe</w:t>
            </w:r>
          </w:p>
        </w:tc>
        <w:tc>
          <w:tcPr>
            <w:tcW w:w="8557" w:type="dxa"/>
            <w:shd w:val="clear" w:color="auto" w:fill="auto"/>
          </w:tcPr>
          <w:p w14:paraId="65FC4F8D" w14:textId="77777777" w:rsidR="00FB3D09" w:rsidRPr="002A677E" w:rsidRDefault="00FB3D09" w:rsidP="00822842">
            <w:pPr>
              <w:rPr>
                <w:rFonts w:ascii="Times New Roman" w:hAnsi="Times New Roman"/>
                <w:sz w:val="24"/>
              </w:rPr>
            </w:pPr>
            <w:r>
              <w:rPr>
                <w:rFonts w:ascii="Times New Roman" w:hAnsi="Times New Roman"/>
                <w:sz w:val="24"/>
              </w:rPr>
              <w:t>Istruzioni</w:t>
            </w:r>
          </w:p>
        </w:tc>
      </w:tr>
      <w:tr w:rsidR="00FB3D09" w:rsidRPr="002A677E" w14:paraId="3C8ED033" w14:textId="77777777" w:rsidTr="00822842">
        <w:tc>
          <w:tcPr>
            <w:tcW w:w="1271" w:type="dxa"/>
          </w:tcPr>
          <w:p w14:paraId="514F1159" w14:textId="77777777" w:rsidR="00FB3D09" w:rsidRPr="002A677E" w:rsidRDefault="00FB3D09" w:rsidP="00822842">
            <w:pPr>
              <w:rPr>
                <w:rFonts w:ascii="Times New Roman" w:hAnsi="Times New Roman"/>
                <w:sz w:val="24"/>
              </w:rPr>
            </w:pPr>
            <w:r>
              <w:rPr>
                <w:rFonts w:ascii="Times New Roman" w:hAnsi="Times New Roman"/>
                <w:sz w:val="24"/>
              </w:rPr>
              <w:t>INTERVALLO DI PD</w:t>
            </w:r>
          </w:p>
        </w:tc>
        <w:tc>
          <w:tcPr>
            <w:tcW w:w="8557" w:type="dxa"/>
          </w:tcPr>
          <w:p w14:paraId="61595E98" w14:textId="56A50A6C" w:rsidR="00FB3D09" w:rsidRPr="002A677E" w:rsidRDefault="00FB3D09" w:rsidP="00822842">
            <w:pPr>
              <w:rPr>
                <w:rFonts w:ascii="Times New Roman" w:hAnsi="Times New Roman"/>
                <w:sz w:val="24"/>
              </w:rPr>
            </w:pPr>
            <w:r>
              <w:rPr>
                <w:rFonts w:ascii="Times New Roman" w:hAnsi="Times New Roman"/>
                <w:sz w:val="24"/>
              </w:rPr>
              <w:t>Le esposizioni sono assegnate a una categoria appropriata dell'intervallo di PD fissato sulla base della PD stimata all'inizio del periodo di riferimento per le segnalazioni per ciascun debitore assegnato a questa classe di esposizioni (tenuto conto degli effetti di sostituzione dovuti all'attenuazione del rischio di credito). Gli enti associano ciascuna esposizione all'intervallo di PD indicato nel modello, tenendo conto anche di scale continue. Tutte le esposizioni in stato di default sono incluse nella categoria corrispondente alla PD del 100 %.</w:t>
            </w:r>
          </w:p>
        </w:tc>
      </w:tr>
    </w:tbl>
    <w:p w14:paraId="4DD60C58"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21" w:name="_Toc19715764"/>
      <w:bookmarkStart w:id="122" w:name="_Toc151714408"/>
      <w:r>
        <w:rPr>
          <w:rFonts w:ascii="Times New Roman" w:hAnsi="Times New Roman"/>
          <w:sz w:val="24"/>
        </w:rPr>
        <w:lastRenderedPageBreak/>
        <w:t>C 08.05.1 - Rischio di credito e operazioni con regolamento non contestuale: metodo IRB applicato ai requisiti patrimoniali: test retrospettivo della PD ai sensi dell'articolo 180, paragrafo 1, lettera f), del regolamento (UE) n. 575/2013 (CR IRB 5B)</w:t>
      </w:r>
      <w:bookmarkEnd w:id="121"/>
      <w:bookmarkEnd w:id="122"/>
    </w:p>
    <w:p w14:paraId="27A46150" w14:textId="77777777" w:rsidR="00FB3D09" w:rsidRPr="002A677E" w:rsidRDefault="00FB3D09" w:rsidP="001A0ED8">
      <w:pPr>
        <w:pStyle w:val="Instructionsberschrift2"/>
        <w:numPr>
          <w:ilvl w:val="4"/>
          <w:numId w:val="21"/>
        </w:numPr>
        <w:rPr>
          <w:rFonts w:ascii="Times New Roman" w:hAnsi="Times New Roman" w:cs="Times New Roman"/>
          <w:sz w:val="24"/>
        </w:rPr>
      </w:pPr>
      <w:bookmarkStart w:id="123" w:name="_Toc19715765"/>
      <w:bookmarkStart w:id="124" w:name="_Toc151714409"/>
      <w:r>
        <w:rPr>
          <w:rFonts w:ascii="Times New Roman" w:hAnsi="Times New Roman"/>
          <w:sz w:val="24"/>
        </w:rPr>
        <w:t>Istruzioni relative a posizioni specifiche</w:t>
      </w:r>
      <w:bookmarkEnd w:id="123"/>
      <w:bookmarkEnd w:id="124"/>
    </w:p>
    <w:p w14:paraId="68360FA1"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81</w:t>
      </w:r>
      <w:r>
        <w:fldChar w:fldCharType="end"/>
      </w:r>
      <w:r>
        <w:t>. Oltre al modello C 08.05, gli enti segnalano le informazioni incluse nel modello C 08.05.1 se applicano l'articolo 180, paragrafo 1, lettera f), del regolamento (UE) n. 575/2013 per la stima della PD e solo per le stime della PD ai sensi dello stesso articolo. Le istruzioni sono le stesse del modello C 08.05, con le seguenti eccezioni:</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1E2F3B8E" w14:textId="77777777" w:rsidTr="00822842">
        <w:tc>
          <w:tcPr>
            <w:tcW w:w="1188" w:type="dxa"/>
            <w:shd w:val="clear" w:color="auto" w:fill="CCCCCC"/>
          </w:tcPr>
          <w:p w14:paraId="7D027DF5" w14:textId="77777777" w:rsidR="00FB3D09" w:rsidRPr="002A677E" w:rsidRDefault="00FB3D09" w:rsidP="00822842">
            <w:pPr>
              <w:rPr>
                <w:rFonts w:ascii="Times New Roman" w:hAnsi="Times New Roman"/>
                <w:sz w:val="24"/>
              </w:rPr>
            </w:pPr>
            <w:r>
              <w:rPr>
                <w:rFonts w:ascii="Times New Roman" w:hAnsi="Times New Roman"/>
                <w:sz w:val="24"/>
              </w:rPr>
              <w:t>Colonne</w:t>
            </w:r>
          </w:p>
        </w:tc>
        <w:tc>
          <w:tcPr>
            <w:tcW w:w="8843" w:type="dxa"/>
            <w:shd w:val="clear" w:color="auto" w:fill="CCCCCC"/>
          </w:tcPr>
          <w:p w14:paraId="63A7247A" w14:textId="77777777" w:rsidR="00FB3D09" w:rsidRPr="002A677E" w:rsidRDefault="00FB3D09" w:rsidP="00822842">
            <w:pPr>
              <w:rPr>
                <w:rFonts w:ascii="Times New Roman" w:hAnsi="Times New Roman"/>
                <w:sz w:val="24"/>
              </w:rPr>
            </w:pPr>
            <w:r>
              <w:rPr>
                <w:rFonts w:ascii="Times New Roman" w:hAnsi="Times New Roman"/>
                <w:sz w:val="24"/>
              </w:rPr>
              <w:t>Istruzioni</w:t>
            </w:r>
          </w:p>
        </w:tc>
      </w:tr>
      <w:tr w:rsidR="00FB3D09" w:rsidRPr="002A677E" w14:paraId="528697BD" w14:textId="77777777" w:rsidTr="00822842">
        <w:tc>
          <w:tcPr>
            <w:tcW w:w="1188" w:type="dxa"/>
            <w:shd w:val="clear" w:color="auto" w:fill="auto"/>
          </w:tcPr>
          <w:p w14:paraId="150C8B42" w14:textId="77777777" w:rsidR="00FB3D09" w:rsidRPr="002A677E" w:rsidRDefault="00FB3D09" w:rsidP="00822842">
            <w:pPr>
              <w:rPr>
                <w:rFonts w:ascii="Times New Roman" w:hAnsi="Times New Roman"/>
                <w:sz w:val="24"/>
              </w:rPr>
            </w:pPr>
            <w:r>
              <w:rPr>
                <w:rFonts w:ascii="Times New Roman" w:hAnsi="Times New Roman"/>
                <w:sz w:val="24"/>
              </w:rPr>
              <w:t>0005</w:t>
            </w:r>
          </w:p>
        </w:tc>
        <w:tc>
          <w:tcPr>
            <w:tcW w:w="8843" w:type="dxa"/>
            <w:shd w:val="clear" w:color="auto" w:fill="auto"/>
          </w:tcPr>
          <w:p w14:paraId="1D47203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INTERVALLO DI PD</w:t>
            </w:r>
          </w:p>
          <w:p w14:paraId="4CAAE100" w14:textId="77777777" w:rsidR="00FB3D09" w:rsidRPr="002A677E" w:rsidRDefault="00FB3D09" w:rsidP="00822842">
            <w:pPr>
              <w:rPr>
                <w:rFonts w:ascii="Times New Roman" w:hAnsi="Times New Roman"/>
                <w:sz w:val="24"/>
              </w:rPr>
            </w:pPr>
            <w:r>
              <w:rPr>
                <w:rFonts w:ascii="Times New Roman" w:hAnsi="Times New Roman"/>
                <w:sz w:val="24"/>
              </w:rPr>
              <w:t xml:space="preserve">Gli enti segnalano gli intervalli di PD </w:t>
            </w:r>
            <w:r>
              <w:rPr>
                <w:rStyle w:val="InstructionsTabelleText"/>
                <w:rFonts w:ascii="Times New Roman" w:hAnsi="Times New Roman"/>
                <w:sz w:val="24"/>
              </w:rPr>
              <w:t>in base alle</w:t>
            </w:r>
            <w:r>
              <w:rPr>
                <w:rFonts w:ascii="Times New Roman" w:hAnsi="Times New Roman"/>
                <w:sz w:val="24"/>
              </w:rPr>
              <w:t xml:space="preserve"> loro classi interne che associano alla scala utilizzata dall'ECAI esterna, invece di un intervallo di PD esterno fisso.</w:t>
            </w:r>
          </w:p>
        </w:tc>
      </w:tr>
      <w:tr w:rsidR="00FB3D09" w:rsidRPr="002A677E" w14:paraId="64D00DA7" w14:textId="77777777" w:rsidTr="00822842">
        <w:tc>
          <w:tcPr>
            <w:tcW w:w="1188" w:type="dxa"/>
            <w:shd w:val="clear" w:color="auto" w:fill="auto"/>
          </w:tcPr>
          <w:p w14:paraId="1078063B" w14:textId="77777777" w:rsidR="00FB3D09" w:rsidRPr="002A677E" w:rsidRDefault="00FB3D09" w:rsidP="00822842">
            <w:pPr>
              <w:rPr>
                <w:rFonts w:ascii="Times New Roman" w:hAnsi="Times New Roman"/>
                <w:sz w:val="24"/>
              </w:rPr>
            </w:pPr>
            <w:r>
              <w:rPr>
                <w:rFonts w:ascii="Times New Roman" w:hAnsi="Times New Roman"/>
                <w:sz w:val="24"/>
              </w:rPr>
              <w:t>0006</w:t>
            </w:r>
          </w:p>
        </w:tc>
        <w:tc>
          <w:tcPr>
            <w:tcW w:w="8843" w:type="dxa"/>
            <w:shd w:val="clear" w:color="auto" w:fill="auto"/>
          </w:tcPr>
          <w:p w14:paraId="6793AD5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EQUIVALENTE A RATING ESTERNO</w:t>
            </w:r>
          </w:p>
          <w:p w14:paraId="276EE83C" w14:textId="77777777" w:rsidR="00FB3D09" w:rsidRPr="002A677E" w:rsidRDefault="00FB3D09" w:rsidP="00822842">
            <w:pPr>
              <w:rPr>
                <w:rFonts w:ascii="Times New Roman" w:hAnsi="Times New Roman"/>
                <w:sz w:val="24"/>
              </w:rPr>
            </w:pPr>
            <w:r>
              <w:rPr>
                <w:rFonts w:ascii="Times New Roman" w:hAnsi="Times New Roman"/>
                <w:sz w:val="24"/>
              </w:rPr>
              <w:t>Gli enti segnalano una colonna per ciascuna ECAI considerata conformemente all'articolo 180, paragrafo 1, lettera f), del regolamento (UE) n. 575/2013. Gli enti includono in queste colonne il rating esterno al quale sono associati i loro intervalli interni di PD.</w:t>
            </w:r>
          </w:p>
        </w:tc>
      </w:tr>
    </w:tbl>
    <w:p w14:paraId="1CA8A0ED"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25" w:name="_Toc19715766"/>
      <w:bookmarkStart w:id="126" w:name="_Toc151714410"/>
      <w:r>
        <w:rPr>
          <w:rFonts w:ascii="Times New Roman" w:hAnsi="Times New Roman"/>
          <w:sz w:val="24"/>
        </w:rPr>
        <w:t>C 08.06 - Rischio di credito e operazioni con regolamento non contestuale: metodo IRB applicato ai requisiti patrimoniali (metodo di assegnazione dei finanziamenti specializzati (CR IRB 6))</w:t>
      </w:r>
      <w:bookmarkEnd w:id="125"/>
      <w:bookmarkEnd w:id="126"/>
    </w:p>
    <w:p w14:paraId="0C327519" w14:textId="77777777" w:rsidR="00FB3D09" w:rsidRPr="002A677E" w:rsidRDefault="00FB3D09" w:rsidP="001A0ED8">
      <w:pPr>
        <w:pStyle w:val="Instructionsberschrift2"/>
        <w:numPr>
          <w:ilvl w:val="4"/>
          <w:numId w:val="21"/>
        </w:numPr>
        <w:rPr>
          <w:rFonts w:ascii="Times New Roman" w:hAnsi="Times New Roman" w:cs="Times New Roman"/>
          <w:sz w:val="24"/>
        </w:rPr>
      </w:pPr>
      <w:bookmarkStart w:id="127" w:name="_Toc19715767"/>
      <w:bookmarkStart w:id="128" w:name="_Toc151714411"/>
      <w:r>
        <w:rPr>
          <w:rFonts w:ascii="Times New Roman" w:hAnsi="Times New Roman"/>
          <w:sz w:val="24"/>
        </w:rPr>
        <w:t>Osservazioni di carattere generale</w:t>
      </w:r>
      <w:bookmarkEnd w:id="127"/>
      <w:bookmarkEnd w:id="128"/>
    </w:p>
    <w:p w14:paraId="06C30120"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82</w:t>
      </w:r>
      <w:r>
        <w:fldChar w:fldCharType="end"/>
      </w:r>
      <w:r>
        <w:t>. Gli enti segnalano le informazioni incluse in questo modello in applicazione dell’articolo 438, lettera e), del regolamento (UE) n. 575/2013. Gli enti segnalano informazioni sulle seguenti tipologie di esposizioni da finanziamenti specializzati di cui alla tabella 1 dell'articolo 153, paragrafo 5:</w:t>
      </w:r>
    </w:p>
    <w:p w14:paraId="020ECF38" w14:textId="77777777" w:rsidR="00FB3D09" w:rsidRPr="002A677E" w:rsidRDefault="00FB3D09" w:rsidP="00FB3D09">
      <w:pPr>
        <w:pStyle w:val="InstructionsText2"/>
        <w:numPr>
          <w:ilvl w:val="0"/>
          <w:numId w:val="0"/>
        </w:numPr>
        <w:ind w:left="1080"/>
      </w:pPr>
      <w:r>
        <w:t>Finanziamento di progetti</w:t>
      </w:r>
    </w:p>
    <w:p w14:paraId="0D30395D" w14:textId="77777777" w:rsidR="00FB3D09" w:rsidRPr="002A677E" w:rsidRDefault="00FB3D09" w:rsidP="00FB3D09">
      <w:pPr>
        <w:pStyle w:val="InstructionsText2"/>
        <w:numPr>
          <w:ilvl w:val="0"/>
          <w:numId w:val="0"/>
        </w:numPr>
        <w:ind w:left="1080"/>
      </w:pPr>
      <w:r>
        <w:t>Beni immobili generatori di reddito e beni immobili non residenziali ad alta volatilità</w:t>
      </w:r>
    </w:p>
    <w:p w14:paraId="0E156A19" w14:textId="77777777" w:rsidR="00FB3D09" w:rsidRPr="002A677E" w:rsidRDefault="00FB3D09" w:rsidP="00FB3D09">
      <w:pPr>
        <w:pStyle w:val="InstructionsText2"/>
        <w:numPr>
          <w:ilvl w:val="0"/>
          <w:numId w:val="0"/>
        </w:numPr>
        <w:ind w:left="1080"/>
      </w:pPr>
      <w:r>
        <w:t>Finanziamento di attività materiali a destinazione specifica (object finance)</w:t>
      </w:r>
    </w:p>
    <w:p w14:paraId="66940C39" w14:textId="77777777" w:rsidR="00FB3D09" w:rsidRPr="002A677E" w:rsidRDefault="00FB3D09" w:rsidP="00FB3D09">
      <w:pPr>
        <w:pStyle w:val="InstructionsText2"/>
        <w:numPr>
          <w:ilvl w:val="1"/>
          <w:numId w:val="15"/>
        </w:numPr>
      </w:pPr>
      <w:r>
        <w:t>Finanziamento su merci (commodities finance)</w:t>
      </w:r>
    </w:p>
    <w:p w14:paraId="58A5DEC7"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29" w:name="_Toc19715768"/>
      <w:bookmarkStart w:id="130" w:name="_Toc151714412"/>
      <w:r>
        <w:rPr>
          <w:rFonts w:ascii="Times New Roman" w:hAnsi="Times New Roman"/>
          <w:sz w:val="24"/>
        </w:rPr>
        <w:t>Istruzioni relative a posizioni specifiche</w:t>
      </w:r>
      <w:bookmarkEnd w:id="129"/>
      <w:bookmarkEnd w:id="13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7D26FD2B" w14:textId="77777777" w:rsidTr="00822842">
        <w:tc>
          <w:tcPr>
            <w:tcW w:w="1188" w:type="dxa"/>
            <w:shd w:val="clear" w:color="auto" w:fill="CCCCCC"/>
          </w:tcPr>
          <w:p w14:paraId="6E606862" w14:textId="77777777" w:rsidR="00FB3D09" w:rsidRPr="002A677E" w:rsidRDefault="00FB3D09" w:rsidP="00822842">
            <w:pPr>
              <w:rPr>
                <w:rFonts w:ascii="Times New Roman" w:hAnsi="Times New Roman"/>
                <w:sz w:val="24"/>
              </w:rPr>
            </w:pPr>
            <w:r>
              <w:rPr>
                <w:rFonts w:ascii="Times New Roman" w:hAnsi="Times New Roman"/>
                <w:sz w:val="24"/>
              </w:rPr>
              <w:t>Colonne</w:t>
            </w:r>
          </w:p>
        </w:tc>
        <w:tc>
          <w:tcPr>
            <w:tcW w:w="8843" w:type="dxa"/>
            <w:shd w:val="clear" w:color="auto" w:fill="CCCCCC"/>
          </w:tcPr>
          <w:p w14:paraId="03916D9E" w14:textId="77777777" w:rsidR="00FB3D09" w:rsidRPr="002A677E" w:rsidRDefault="00FB3D09" w:rsidP="00822842">
            <w:pPr>
              <w:rPr>
                <w:rFonts w:ascii="Times New Roman" w:hAnsi="Times New Roman"/>
                <w:sz w:val="24"/>
              </w:rPr>
            </w:pPr>
            <w:r>
              <w:rPr>
                <w:rFonts w:ascii="Times New Roman" w:hAnsi="Times New Roman"/>
                <w:sz w:val="24"/>
              </w:rPr>
              <w:t>Istruzioni</w:t>
            </w:r>
          </w:p>
        </w:tc>
      </w:tr>
      <w:tr w:rsidR="00FB3D09" w:rsidRPr="002A677E" w14:paraId="27E1469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BCB525B"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223511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ESPOSIZIONE ORIGINARIA PRIMA DELL'APPLICAZIONE DEI FATTORI DI CONVERSIONE</w:t>
            </w:r>
          </w:p>
          <w:p w14:paraId="3FEAA5A3" w14:textId="77777777" w:rsidR="00FB3D09" w:rsidRPr="002A677E" w:rsidRDefault="00FB3D09" w:rsidP="00822842">
            <w:pPr>
              <w:rPr>
                <w:rFonts w:ascii="Times New Roman" w:hAnsi="Times New Roman"/>
                <w:sz w:val="24"/>
              </w:rPr>
            </w:pPr>
            <w:r>
              <w:rPr>
                <w:rFonts w:ascii="Times New Roman" w:hAnsi="Times New Roman"/>
                <w:sz w:val="24"/>
              </w:rPr>
              <w:t>Cfr. le istruzioni relative al modello CR IRB.</w:t>
            </w:r>
          </w:p>
        </w:tc>
      </w:tr>
      <w:tr w:rsidR="00FB3D09" w:rsidRPr="002A677E" w14:paraId="2B63E9B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85DE9AC" w14:textId="77777777" w:rsidR="00FB3D09" w:rsidRPr="002A677E" w:rsidRDefault="00FB3D09" w:rsidP="00822842">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DA24A8"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ESPOSIZIONE DOPO GLI EFFETTI DI SOSTITUZIONE DELL'ATTENUAZIONE DEL RISCHIO DI CREDITO PRIMA DELL'APPLICAZIONE DEI FATTORI DI CONVERSIONE</w:t>
            </w:r>
          </w:p>
          <w:p w14:paraId="6CBD0B35" w14:textId="77777777" w:rsidR="00FB3D09" w:rsidRPr="002A677E" w:rsidRDefault="00FB3D09" w:rsidP="00822842">
            <w:pPr>
              <w:rPr>
                <w:rFonts w:ascii="Times New Roman" w:hAnsi="Times New Roman"/>
                <w:sz w:val="24"/>
              </w:rPr>
            </w:pPr>
            <w:r>
              <w:rPr>
                <w:rFonts w:ascii="Times New Roman" w:hAnsi="Times New Roman"/>
                <w:sz w:val="24"/>
              </w:rPr>
              <w:t>Cfr. le istruzioni relative al modello CR IRB.</w:t>
            </w:r>
          </w:p>
        </w:tc>
      </w:tr>
      <w:tr w:rsidR="00FB3D09" w:rsidRPr="002A677E" w14:paraId="328B4A3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309D5E4" w14:textId="77777777" w:rsidR="00FB3D09" w:rsidRPr="002A677E" w:rsidRDefault="00FB3D09" w:rsidP="00822842">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5F5F73" w14:textId="77777777" w:rsidR="00FB3D09" w:rsidRPr="002A677E" w:rsidRDefault="00FB3D09" w:rsidP="00822842">
            <w:pPr>
              <w:rPr>
                <w:rStyle w:val="InstructionsTabelleberschrift"/>
                <w:rFonts w:ascii="Times New Roman" w:hAnsi="Times New Roman"/>
                <w:bCs w:val="0"/>
                <w:sz w:val="24"/>
              </w:rPr>
            </w:pPr>
            <w:r>
              <w:rPr>
                <w:rStyle w:val="InstructionsTabelleberschrift"/>
                <w:rFonts w:ascii="Times New Roman" w:hAnsi="Times New Roman"/>
                <w:sz w:val="24"/>
              </w:rPr>
              <w:t xml:space="preserve">DI CUI: ELEMENTI FUORI BILANCIO </w:t>
            </w:r>
          </w:p>
          <w:p w14:paraId="34DD8D87" w14:textId="77777777" w:rsidR="00FB3D09" w:rsidRPr="002A677E" w:rsidRDefault="00FB3D09" w:rsidP="00822842">
            <w:pPr>
              <w:rPr>
                <w:rFonts w:ascii="Times New Roman" w:hAnsi="Times New Roman"/>
                <w:sz w:val="24"/>
              </w:rPr>
            </w:pPr>
            <w:r>
              <w:rPr>
                <w:rFonts w:ascii="Times New Roman" w:hAnsi="Times New Roman"/>
                <w:sz w:val="24"/>
              </w:rPr>
              <w:t>Cfr. le istruzioni relative al modello CR-SA.</w:t>
            </w:r>
          </w:p>
        </w:tc>
      </w:tr>
      <w:tr w:rsidR="00FB3D09" w:rsidRPr="002A677E" w14:paraId="08DB9921"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4AACF1D"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7D848A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VALORE DELL'ESPOSIZIONE</w:t>
            </w:r>
          </w:p>
          <w:p w14:paraId="4F68F714" w14:textId="77777777" w:rsidR="00FB3D09" w:rsidRPr="002A677E" w:rsidRDefault="00FB3D09" w:rsidP="00822842">
            <w:pPr>
              <w:rPr>
                <w:rFonts w:ascii="Times New Roman" w:hAnsi="Times New Roman"/>
                <w:sz w:val="24"/>
              </w:rPr>
            </w:pPr>
            <w:r>
              <w:rPr>
                <w:rFonts w:ascii="Times New Roman" w:hAnsi="Times New Roman"/>
                <w:sz w:val="24"/>
              </w:rPr>
              <w:t>Cfr. le istruzioni relative al modello CR IRB.</w:t>
            </w:r>
          </w:p>
        </w:tc>
      </w:tr>
      <w:tr w:rsidR="00FB3D09" w:rsidRPr="002A677E" w14:paraId="0927737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8E38D0"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267BBF" w14:textId="77777777" w:rsidR="00FB3D09" w:rsidRPr="002A677E" w:rsidRDefault="00FB3D09" w:rsidP="00822842">
            <w:pPr>
              <w:rPr>
                <w:rStyle w:val="InstructionsTabelleberschrift"/>
                <w:rFonts w:ascii="Times New Roman" w:hAnsi="Times New Roman"/>
                <w:bCs w:val="0"/>
                <w:sz w:val="24"/>
              </w:rPr>
            </w:pPr>
            <w:r>
              <w:rPr>
                <w:rStyle w:val="InstructionsTabelleberschrift"/>
                <w:rFonts w:ascii="Times New Roman" w:hAnsi="Times New Roman"/>
                <w:sz w:val="24"/>
              </w:rPr>
              <w:t xml:space="preserve">DI CUI: DERIVANTE DAL RISCHIO DI CONTROPARTE </w:t>
            </w:r>
          </w:p>
          <w:p w14:paraId="416635B7" w14:textId="77777777" w:rsidR="00FB3D09" w:rsidRPr="002A677E" w:rsidRDefault="00FB3D09" w:rsidP="00822842">
            <w:pPr>
              <w:rPr>
                <w:rFonts w:ascii="Times New Roman" w:hAnsi="Times New Roman"/>
                <w:sz w:val="24"/>
              </w:rPr>
            </w:pPr>
            <w:r>
              <w:rPr>
                <w:rFonts w:ascii="Times New Roman" w:hAnsi="Times New Roman"/>
                <w:sz w:val="24"/>
              </w:rPr>
              <w:t>Cfr. le istruzioni relative al modello CR SA.</w:t>
            </w:r>
            <w:r>
              <w:rPr>
                <w:rStyle w:val="InstructionsTabelleText"/>
                <w:rFonts w:ascii="Times New Roman" w:hAnsi="Times New Roman"/>
                <w:sz w:val="24"/>
              </w:rPr>
              <w:t xml:space="preserve"> </w:t>
            </w:r>
          </w:p>
        </w:tc>
      </w:tr>
      <w:tr w:rsidR="00FB3D09" w:rsidRPr="002A677E" w14:paraId="383531B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98568BB" w14:textId="77777777" w:rsidR="00FB3D09" w:rsidRPr="002A677E" w:rsidRDefault="00FB3D09" w:rsidP="00822842">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0FB93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FATTORE DI PONDERAZIONE DEL RISCHIO</w:t>
            </w:r>
          </w:p>
          <w:p w14:paraId="5C41EA78" w14:textId="77777777" w:rsidR="00FB3D09" w:rsidRPr="002A677E" w:rsidRDefault="00FB3D09" w:rsidP="00822842">
            <w:pPr>
              <w:rPr>
                <w:rFonts w:ascii="Times New Roman" w:hAnsi="Times New Roman"/>
                <w:sz w:val="24"/>
              </w:rPr>
            </w:pPr>
            <w:r>
              <w:rPr>
                <w:rFonts w:ascii="Times New Roman" w:hAnsi="Times New Roman"/>
                <w:sz w:val="24"/>
              </w:rPr>
              <w:t>Articolo 153, paragrafo 5, del regolamento (UE) n. 575/2013</w:t>
            </w:r>
          </w:p>
          <w:p w14:paraId="67CCD5DB" w14:textId="77777777" w:rsidR="00FB3D09" w:rsidRPr="002A677E" w:rsidRDefault="00FB3D09" w:rsidP="00822842">
            <w:pPr>
              <w:rPr>
                <w:rFonts w:ascii="Times New Roman" w:hAnsi="Times New Roman"/>
                <w:sz w:val="24"/>
              </w:rPr>
            </w:pPr>
            <w:r>
              <w:rPr>
                <w:rFonts w:ascii="Times New Roman" w:hAnsi="Times New Roman"/>
                <w:sz w:val="24"/>
              </w:rPr>
              <w:t xml:space="preserve">Si tratta di una colonna fissa a titolo informativo. Essa non può essere modificata. </w:t>
            </w:r>
          </w:p>
        </w:tc>
      </w:tr>
      <w:tr w:rsidR="00FB3D09" w:rsidRPr="002A677E" w14:paraId="10464D9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C0F652" w14:textId="77777777" w:rsidR="00FB3D09" w:rsidRPr="002A677E" w:rsidRDefault="00FB3D09" w:rsidP="00822842">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B6948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IMPORTO DELL'ESPOSIZIONE PONDERATO PER IL RISCHIO DOPO L'APPLICAZIONE DEI FATTORI DI SOSTEGNO</w:t>
            </w:r>
          </w:p>
          <w:p w14:paraId="4B6C2EA5" w14:textId="77777777" w:rsidR="00FB3D09" w:rsidRPr="002A677E" w:rsidRDefault="00FB3D09" w:rsidP="00822842">
            <w:pPr>
              <w:rPr>
                <w:rFonts w:ascii="Times New Roman" w:hAnsi="Times New Roman"/>
                <w:b/>
                <w:sz w:val="24"/>
              </w:rPr>
            </w:pPr>
            <w:r>
              <w:rPr>
                <w:rFonts w:ascii="Times New Roman" w:hAnsi="Times New Roman"/>
                <w:sz w:val="24"/>
              </w:rPr>
              <w:t>Cfr. le istruzioni relative al modello CR IRB.</w:t>
            </w:r>
          </w:p>
        </w:tc>
      </w:tr>
      <w:tr w:rsidR="00FB3D09" w:rsidRPr="002A677E" w14:paraId="6070EAD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41BE8BB" w14:textId="77777777" w:rsidR="00FB3D09" w:rsidRPr="002A677E" w:rsidRDefault="00FB3D09" w:rsidP="00822842">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DBC3B5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IMPORTO DELLE PERDITE ATTESE</w:t>
            </w:r>
          </w:p>
          <w:p w14:paraId="693CE6D8" w14:textId="77777777" w:rsidR="00FB3D09" w:rsidRPr="002A677E" w:rsidRDefault="00FB3D09" w:rsidP="00822842">
            <w:pPr>
              <w:rPr>
                <w:rFonts w:ascii="Times New Roman" w:hAnsi="Times New Roman"/>
                <w:b/>
                <w:sz w:val="24"/>
              </w:rPr>
            </w:pPr>
            <w:r>
              <w:rPr>
                <w:rFonts w:ascii="Times New Roman" w:hAnsi="Times New Roman"/>
                <w:sz w:val="24"/>
              </w:rPr>
              <w:t>Cfr. le istruzioni relative al modello CR IRB.</w:t>
            </w:r>
          </w:p>
        </w:tc>
      </w:tr>
      <w:tr w:rsidR="00FB3D09" w:rsidRPr="002A677E" w14:paraId="382A8A4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EF5742" w14:textId="77777777" w:rsidR="00FB3D09" w:rsidRPr="002A677E" w:rsidRDefault="00FB3D09" w:rsidP="00822842">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36E8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RETTIFICHE DI VALORE E ACCANTONAMENTI</w:t>
            </w:r>
          </w:p>
          <w:p w14:paraId="43E4B618" w14:textId="77777777" w:rsidR="00FB3D09" w:rsidRPr="002A677E" w:rsidRDefault="00FB3D09" w:rsidP="00822842">
            <w:pPr>
              <w:rPr>
                <w:rFonts w:ascii="Times New Roman" w:hAnsi="Times New Roman"/>
                <w:b/>
                <w:sz w:val="24"/>
              </w:rPr>
            </w:pPr>
            <w:r>
              <w:rPr>
                <w:rFonts w:ascii="Times New Roman" w:hAnsi="Times New Roman"/>
                <w:sz w:val="24"/>
              </w:rPr>
              <w:t>Cfr. le istruzioni relative al modello CR IRB.</w:t>
            </w:r>
          </w:p>
        </w:tc>
      </w:tr>
    </w:tbl>
    <w:p w14:paraId="53071A7C" w14:textId="77777777" w:rsidR="00FB3D09" w:rsidRPr="002A677E" w:rsidRDefault="00FB3D09" w:rsidP="00FB3D09">
      <w:pPr>
        <w:pStyle w:val="body"/>
      </w:pPr>
      <w:bookmarkStart w:id="13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FB3D09" w:rsidRPr="002A677E" w14:paraId="2FD73173" w14:textId="77777777" w:rsidTr="00822842">
        <w:tc>
          <w:tcPr>
            <w:tcW w:w="1129" w:type="dxa"/>
            <w:shd w:val="pct25" w:color="auto" w:fill="auto"/>
          </w:tcPr>
          <w:p w14:paraId="528FE156" w14:textId="77777777" w:rsidR="00FB3D09" w:rsidRPr="002A677E" w:rsidRDefault="00FB3D09" w:rsidP="00822842">
            <w:pPr>
              <w:rPr>
                <w:rFonts w:ascii="Times New Roman" w:hAnsi="Times New Roman"/>
                <w:sz w:val="24"/>
              </w:rPr>
            </w:pPr>
            <w:r>
              <w:rPr>
                <w:rFonts w:ascii="Times New Roman" w:hAnsi="Times New Roman"/>
                <w:sz w:val="24"/>
              </w:rPr>
              <w:t>Righe</w:t>
            </w:r>
          </w:p>
        </w:tc>
        <w:tc>
          <w:tcPr>
            <w:tcW w:w="8931" w:type="dxa"/>
            <w:shd w:val="pct25" w:color="auto" w:fill="auto"/>
          </w:tcPr>
          <w:p w14:paraId="74C4755C" w14:textId="77777777" w:rsidR="00FB3D09" w:rsidRPr="002A677E" w:rsidRDefault="00FB3D09" w:rsidP="00822842">
            <w:pPr>
              <w:rPr>
                <w:rFonts w:ascii="Times New Roman" w:hAnsi="Times New Roman"/>
                <w:sz w:val="24"/>
              </w:rPr>
            </w:pPr>
            <w:r>
              <w:rPr>
                <w:rFonts w:ascii="Times New Roman" w:hAnsi="Times New Roman"/>
                <w:sz w:val="24"/>
              </w:rPr>
              <w:t>Istruzioni</w:t>
            </w:r>
          </w:p>
        </w:tc>
      </w:tr>
      <w:tr w:rsidR="00FB3D09" w:rsidRPr="002A677E" w14:paraId="13ABD6A4" w14:textId="77777777" w:rsidTr="00822842">
        <w:tc>
          <w:tcPr>
            <w:tcW w:w="1129" w:type="dxa"/>
          </w:tcPr>
          <w:p w14:paraId="6D90D953" w14:textId="77777777" w:rsidR="00FB3D09" w:rsidRPr="002A677E" w:rsidRDefault="00FB3D09" w:rsidP="00822842">
            <w:pPr>
              <w:rPr>
                <w:rFonts w:ascii="Times New Roman" w:hAnsi="Times New Roman"/>
                <w:sz w:val="24"/>
              </w:rPr>
            </w:pPr>
            <w:r>
              <w:rPr>
                <w:rFonts w:ascii="Times New Roman" w:hAnsi="Times New Roman"/>
                <w:sz w:val="24"/>
              </w:rPr>
              <w:t>0010-0120</w:t>
            </w:r>
          </w:p>
        </w:tc>
        <w:tc>
          <w:tcPr>
            <w:tcW w:w="8931" w:type="dxa"/>
          </w:tcPr>
          <w:p w14:paraId="68EE291B" w14:textId="77777777" w:rsidR="00FB3D09" w:rsidRPr="002A677E" w:rsidRDefault="00FB3D09" w:rsidP="00822842">
            <w:pPr>
              <w:rPr>
                <w:rFonts w:ascii="Times New Roman" w:hAnsi="Times New Roman"/>
                <w:sz w:val="24"/>
              </w:rPr>
            </w:pPr>
            <w:r>
              <w:rPr>
                <w:rFonts w:ascii="Times New Roman" w:hAnsi="Times New Roman"/>
                <w:sz w:val="24"/>
              </w:rPr>
              <w:t xml:space="preserve">Le esposizioni sono assegnate alla categoria e alla durata appropriate </w:t>
            </w:r>
            <w:r>
              <w:rPr>
                <w:rStyle w:val="InstructionsTabelleText"/>
                <w:rFonts w:ascii="Times New Roman" w:hAnsi="Times New Roman"/>
                <w:sz w:val="24"/>
              </w:rPr>
              <w:t>conformemente alla</w:t>
            </w:r>
            <w:r>
              <w:rPr>
                <w:rFonts w:ascii="Times New Roman" w:hAnsi="Times New Roman"/>
                <w:sz w:val="24"/>
              </w:rPr>
              <w:t xml:space="preserve"> tabella 1 dell'articolo 153, paragrafo 5, del regolamento (UE) n. 575/2013.</w:t>
            </w:r>
          </w:p>
        </w:tc>
      </w:tr>
    </w:tbl>
    <w:p w14:paraId="4255FF49" w14:textId="77777777" w:rsidR="00FB3D09" w:rsidRPr="002A677E" w:rsidRDefault="00FB3D09" w:rsidP="00FB3D09">
      <w:pPr>
        <w:pStyle w:val="body"/>
      </w:pPr>
    </w:p>
    <w:p w14:paraId="782F65B6" w14:textId="17C6C8BD" w:rsidR="00FB3D09" w:rsidRPr="002A677E" w:rsidRDefault="00FB3D09" w:rsidP="008C13A4">
      <w:pPr>
        <w:pStyle w:val="Instructionsberschrift2"/>
        <w:numPr>
          <w:ilvl w:val="2"/>
          <w:numId w:val="21"/>
        </w:numPr>
        <w:rPr>
          <w:rFonts w:ascii="Times New Roman" w:hAnsi="Times New Roman" w:cs="Times New Roman"/>
          <w:sz w:val="24"/>
        </w:rPr>
      </w:pPr>
      <w:bookmarkStart w:id="132" w:name="_Toc151714413"/>
      <w:r>
        <w:rPr>
          <w:rFonts w:ascii="Times New Roman" w:hAnsi="Times New Roman"/>
          <w:sz w:val="24"/>
        </w:rPr>
        <w:t>C 08.07 - Rischio di credito e operazioni con regolamento non contestuale: metodo IRB applicato ai requisiti patrimoniali (ambito di applicazione dei metodi IRB e SA (CR</w:t>
      </w:r>
      <w:r w:rsidR="001A0ED8">
        <w:rPr>
          <w:rFonts w:ascii="Times New Roman" w:hAnsi="Times New Roman"/>
          <w:sz w:val="24"/>
        </w:rPr>
        <w:t> </w:t>
      </w:r>
      <w:r>
        <w:rPr>
          <w:rFonts w:ascii="Times New Roman" w:hAnsi="Times New Roman"/>
          <w:sz w:val="24"/>
        </w:rPr>
        <w:t>IRB 7))</w:t>
      </w:r>
      <w:bookmarkEnd w:id="131"/>
      <w:bookmarkEnd w:id="132"/>
    </w:p>
    <w:p w14:paraId="4D5E0149" w14:textId="77777777" w:rsidR="00FB3D09" w:rsidRPr="002A677E" w:rsidRDefault="00FB3D09" w:rsidP="001A0ED8">
      <w:pPr>
        <w:pStyle w:val="Instructionsberschrift2"/>
        <w:numPr>
          <w:ilvl w:val="4"/>
          <w:numId w:val="21"/>
        </w:numPr>
        <w:rPr>
          <w:rFonts w:ascii="Times New Roman" w:hAnsi="Times New Roman" w:cs="Times New Roman"/>
          <w:sz w:val="24"/>
        </w:rPr>
      </w:pPr>
      <w:bookmarkStart w:id="133" w:name="_Toc19715770"/>
      <w:bookmarkStart w:id="134" w:name="_Toc151714414"/>
      <w:r>
        <w:rPr>
          <w:rFonts w:ascii="Times New Roman" w:hAnsi="Times New Roman"/>
          <w:sz w:val="24"/>
        </w:rPr>
        <w:t>Osservazioni di carattere generale</w:t>
      </w:r>
      <w:bookmarkEnd w:id="133"/>
      <w:bookmarkEnd w:id="134"/>
    </w:p>
    <w:p w14:paraId="2A642543" w14:textId="37D42124" w:rsidR="00FB3D09" w:rsidRPr="002A677E" w:rsidRDefault="00FB3D09" w:rsidP="00FB3D09">
      <w:pPr>
        <w:pStyle w:val="InstructionsText2"/>
        <w:numPr>
          <w:ilvl w:val="0"/>
          <w:numId w:val="0"/>
        </w:numPr>
        <w:ind w:left="993"/>
      </w:pPr>
      <w:r>
        <w:fldChar w:fldCharType="begin"/>
      </w:r>
      <w:r>
        <w:instrText>seq paragraphs</w:instrText>
      </w:r>
      <w:r>
        <w:fldChar w:fldCharType="separate"/>
      </w:r>
      <w:r>
        <w:t>83</w:t>
      </w:r>
      <w:r>
        <w:fldChar w:fldCharType="end"/>
      </w:r>
      <w:r>
        <w:t xml:space="preserve">. Ai fini di questo modello, gli enti che calcolano gli importi delle esposizioni ponderati per il rischio di credito in base al metodo IRB includono le loro esposizioni secondo il metodo standardizzato di cui alla parte tre, titolo II, capo 2, del </w:t>
      </w:r>
      <w:r>
        <w:lastRenderedPageBreak/>
        <w:t>regolamento (UE) n. 575/2013 o secondo il metodo IRB di cui alla parte tre, titolo</w:t>
      </w:r>
      <w:r w:rsidR="001A0ED8">
        <w:t> </w:t>
      </w:r>
      <w:r>
        <w:t>II, capo 3, del regolamento (UE) n. 575/2013, nonché la parte di ciascuna classe di esposizioni soggetta a un piano di introduzione. Gli enti includono le informazioni in questo modello per classi di esposizioni, conformemente alla ripartizione delle classi di esposizioni incluse nelle righe del modello.</w:t>
      </w:r>
    </w:p>
    <w:p w14:paraId="5EF649B7"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84</w:t>
      </w:r>
      <w:r>
        <w:fldChar w:fldCharType="end"/>
      </w:r>
      <w:r>
        <w:t>. Le colonne da 0030 a 0050 dovrebbero coprire l'intero spettro delle esposizioni, cosicché la somma di ciascuna riga per queste tre colonne dovrebbe essere pari al 100 % di tutte le classi di esposizioni eccetto le posizioni verso la cartolarizzazione e le posizioni dedotte.</w:t>
      </w:r>
    </w:p>
    <w:p w14:paraId="2976CB2C"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35" w:name="_Toc19715771"/>
      <w:bookmarkStart w:id="136" w:name="_Toc151714415"/>
      <w:r>
        <w:rPr>
          <w:rFonts w:ascii="Times New Roman" w:hAnsi="Times New Roman"/>
          <w:sz w:val="24"/>
        </w:rPr>
        <w:t>Istruzioni relative a posizioni specifiche</w:t>
      </w:r>
      <w:bookmarkEnd w:id="135"/>
      <w:bookmarkEnd w:id="13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5A54A3CB" w14:textId="77777777" w:rsidTr="00822842">
        <w:tc>
          <w:tcPr>
            <w:tcW w:w="1188" w:type="dxa"/>
            <w:shd w:val="clear" w:color="auto" w:fill="CCCCCC"/>
          </w:tcPr>
          <w:p w14:paraId="4D5D1AB8" w14:textId="77777777" w:rsidR="00FB3D09" w:rsidRPr="002A677E" w:rsidRDefault="00FB3D09" w:rsidP="00822842">
            <w:pPr>
              <w:rPr>
                <w:rFonts w:ascii="Times New Roman" w:hAnsi="Times New Roman"/>
                <w:sz w:val="24"/>
              </w:rPr>
            </w:pPr>
            <w:r>
              <w:rPr>
                <w:rFonts w:ascii="Times New Roman" w:hAnsi="Times New Roman"/>
                <w:sz w:val="24"/>
              </w:rPr>
              <w:t>Colonne</w:t>
            </w:r>
          </w:p>
        </w:tc>
        <w:tc>
          <w:tcPr>
            <w:tcW w:w="8843" w:type="dxa"/>
            <w:shd w:val="clear" w:color="auto" w:fill="CCCCCC"/>
          </w:tcPr>
          <w:p w14:paraId="07D6E67B" w14:textId="77777777" w:rsidR="00FB3D09" w:rsidRPr="002A677E" w:rsidRDefault="00FB3D09" w:rsidP="00822842">
            <w:pPr>
              <w:rPr>
                <w:rFonts w:ascii="Times New Roman" w:hAnsi="Times New Roman"/>
                <w:sz w:val="24"/>
              </w:rPr>
            </w:pPr>
            <w:r>
              <w:rPr>
                <w:rFonts w:ascii="Times New Roman" w:hAnsi="Times New Roman"/>
                <w:sz w:val="24"/>
              </w:rPr>
              <w:t>Istruzioni</w:t>
            </w:r>
          </w:p>
        </w:tc>
      </w:tr>
      <w:tr w:rsidR="00FB3D09" w:rsidRPr="002A677E" w14:paraId="1E4DCF5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C1C9BE7"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095E21A" w14:textId="7E5EA625" w:rsidR="00FB3D09" w:rsidRPr="002A677E" w:rsidRDefault="00FB3D09" w:rsidP="00822842">
            <w:pPr>
              <w:rPr>
                <w:rFonts w:ascii="Times New Roman" w:hAnsi="Times New Roman"/>
                <w:b/>
                <w:sz w:val="24"/>
                <w:u w:val="single"/>
              </w:rPr>
            </w:pPr>
            <w:r>
              <w:rPr>
                <w:rFonts w:ascii="Times New Roman" w:hAnsi="Times New Roman"/>
                <w:b/>
                <w:sz w:val="24"/>
                <w:u w:val="single"/>
              </w:rPr>
              <w:t>VALORE DELL’ESPOSIZIONE COMPLESSIVA AI SENSI</w:t>
            </w:r>
            <w:r>
              <w:rPr>
                <w:rFonts w:ascii="Times New Roman" w:hAnsi="Times New Roman"/>
                <w:b/>
                <w:sz w:val="24"/>
                <w:u w:val="single"/>
              </w:rPr>
              <w:cr/>
              <w:t>DELL’ARTICOLO 166 DEL REGOLAMENTO (UE) N. 575/2013</w:t>
            </w:r>
          </w:p>
          <w:p w14:paraId="411002F2" w14:textId="77777777" w:rsidR="00FB3D09" w:rsidRPr="002A677E" w:rsidRDefault="00FB3D09" w:rsidP="00822842">
            <w:pPr>
              <w:rPr>
                <w:rFonts w:ascii="Times New Roman" w:hAnsi="Times New Roman"/>
                <w:b/>
                <w:sz w:val="24"/>
              </w:rPr>
            </w:pPr>
            <w:r>
              <w:rPr>
                <w:rFonts w:ascii="Times New Roman" w:hAnsi="Times New Roman"/>
                <w:sz w:val="24"/>
              </w:rPr>
              <w:t>Gli enti utilizzano il valore dell'esposizione prima della CRM a norma dell'articolo 166 del regolamento (UE) n. 575/2013.</w:t>
            </w:r>
          </w:p>
        </w:tc>
      </w:tr>
      <w:tr w:rsidR="00FB3D09" w:rsidRPr="002A677E" w14:paraId="39F1E0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A18E74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6D1CA8"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VALORE DELL'ESPOSIZIONE COMPLESSIVA SOGGETTO AL METODO SA E AL METODO IRB</w:t>
            </w:r>
          </w:p>
          <w:p w14:paraId="2CF123A9" w14:textId="77777777" w:rsidR="00FB3D09" w:rsidRPr="002A677E" w:rsidRDefault="00FB3D09" w:rsidP="00822842">
            <w:pPr>
              <w:rPr>
                <w:rFonts w:ascii="Times New Roman" w:hAnsi="Times New Roman"/>
                <w:sz w:val="24"/>
              </w:rPr>
            </w:pPr>
            <w:r>
              <w:rPr>
                <w:rFonts w:ascii="Times New Roman" w:hAnsi="Times New Roman"/>
                <w:sz w:val="24"/>
              </w:rPr>
              <w:t>Gli enti utilizzano il valore dell'esposizione prima della CRM a norma dell'articolo 429, paragrafo 4, del regolamento (UE) n. 575/2013 per segnalare il valore dell'esposizione complessiva, includendo sia le esposizioni in base al metodo standardizzato sia le esposizioni in base al metodo IRB.</w:t>
            </w:r>
          </w:p>
        </w:tc>
      </w:tr>
      <w:tr w:rsidR="00FB3D09" w:rsidRPr="002A677E" w14:paraId="637EC3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4F292A"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EAD8CB"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PERCENTUALE DEL VALORE DELL'ESPOSIZIONE COMPLESSIVA SOGGETTA ALL'USO PARZIALE PERMANENTE DEL METODO SA (%)</w:t>
            </w:r>
          </w:p>
          <w:p w14:paraId="4E8BC7DA" w14:textId="77777777" w:rsidR="00FB3D09" w:rsidRPr="002A677E" w:rsidRDefault="00FB3D09" w:rsidP="00822842">
            <w:pPr>
              <w:rPr>
                <w:rFonts w:ascii="Times New Roman" w:hAnsi="Times New Roman"/>
                <w:sz w:val="24"/>
              </w:rPr>
            </w:pPr>
            <w:r>
              <w:rPr>
                <w:rFonts w:ascii="Times New Roman" w:hAnsi="Times New Roman"/>
                <w:sz w:val="24"/>
              </w:rPr>
              <w:t>Parte dell'esposizione per ciascuna classe di esposizioni soggetta al metodo standardizzato (esposizione soggetta al metodo standardizzato prima della CRM rispetto all'esposizione complessiva in tale classe di esposizioni nella colonna 0020), nel rispetto dell'ambito di applicazione dell'autorizzazione per l'uso parziale permanente del metodo standardizzato ricevuta da un'autorità competente conformemente all'articolo 150 del regolamento (UE) n. 575/2013.</w:t>
            </w:r>
          </w:p>
        </w:tc>
      </w:tr>
      <w:tr w:rsidR="00FB3D09" w:rsidRPr="002A677E" w14:paraId="6D7D640C"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11CD0AC"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97E0B5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PERCENTUALE DEL VALORE DELL'ESPOSIZIONE COMPLESSIVA SOGGETTA AD UN PIANO DI INTRODUZIONE (%)</w:t>
            </w:r>
          </w:p>
          <w:p w14:paraId="1384B1B7" w14:textId="22825636" w:rsidR="00FB3D09" w:rsidRPr="002A677E" w:rsidRDefault="00FB3D09" w:rsidP="00822842">
            <w:pPr>
              <w:rPr>
                <w:rFonts w:ascii="Times New Roman" w:hAnsi="Times New Roman"/>
                <w:sz w:val="24"/>
              </w:rPr>
            </w:pPr>
            <w:r>
              <w:rPr>
                <w:rFonts w:ascii="Times New Roman" w:hAnsi="Times New Roman"/>
                <w:sz w:val="24"/>
              </w:rPr>
              <w:t>Parte dell'esposizione per ciascuna classe di esposizioni soggetta all'applicazione sequenziale del metodo IRB conformemente all'articolo 148 del regolamento (UE) n.</w:t>
            </w:r>
            <w:r w:rsidR="001A0ED8">
              <w:rPr>
                <w:rFonts w:ascii="Times New Roman" w:hAnsi="Times New Roman"/>
                <w:sz w:val="24"/>
              </w:rPr>
              <w:t> </w:t>
            </w:r>
            <w:r>
              <w:rPr>
                <w:rFonts w:ascii="Times New Roman" w:hAnsi="Times New Roman"/>
                <w:sz w:val="24"/>
              </w:rPr>
              <w:t xml:space="preserve">575/2013. Sono comprese: </w:t>
            </w:r>
          </w:p>
          <w:p w14:paraId="64A26F0D" w14:textId="08E911F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entrambe le esposizioni per le quali gli enti prevedono di applicare il metodo IRB con o senza proprie stime della LGD e/o dei fattori di conversione (F-IRB e A</w:t>
            </w:r>
            <w:r w:rsidR="001A0ED8">
              <w:rPr>
                <w:rFonts w:ascii="Times New Roman" w:hAnsi="Times New Roman"/>
                <w:sz w:val="24"/>
              </w:rPr>
              <w:noBreakHyphen/>
            </w:r>
            <w:r>
              <w:rPr>
                <w:rFonts w:ascii="Times New Roman" w:hAnsi="Times New Roman"/>
                <w:sz w:val="24"/>
              </w:rPr>
              <w:t xml:space="preserve">IRB); </w:t>
            </w:r>
          </w:p>
          <w:p w14:paraId="468B410E"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esposizioni in strumenti di capitale non rilevanti non incluse nelle colonne 0020 o 0040;</w:t>
            </w:r>
          </w:p>
          <w:p w14:paraId="674B8F2C"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lastRenderedPageBreak/>
              <w:t xml:space="preserve">esposizioni già soggette al metodo F-IRB quando un ente intende applicare in futuro il metodo A-IRB; </w:t>
            </w:r>
          </w:p>
          <w:p w14:paraId="58C08A10" w14:textId="148DB963"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esposizioni da finanziamenti specializzati in base al metodo di assegnazione di vigilanza non incluse nella colonna 0010.</w:t>
            </w:r>
          </w:p>
        </w:tc>
      </w:tr>
      <w:tr w:rsidR="00FB3D09" w:rsidRPr="002A677E" w14:paraId="5705D87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E741133" w14:textId="77777777" w:rsidR="00FB3D09" w:rsidRPr="002A677E" w:rsidRDefault="00FB3D09" w:rsidP="00822842">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5C4C0A5"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PERCENTUALE DEL VALORE DELL'ESPOSIZIONE COMPLESSIVA SOGGETTA AL METODO IRB (%)</w:t>
            </w:r>
          </w:p>
          <w:p w14:paraId="281F622B" w14:textId="1CA5D942" w:rsidR="00FB3D09" w:rsidRPr="002A677E" w:rsidRDefault="00FB3D09" w:rsidP="00822842">
            <w:pPr>
              <w:rPr>
                <w:rFonts w:ascii="Times New Roman" w:hAnsi="Times New Roman"/>
                <w:b/>
                <w:sz w:val="24"/>
              </w:rPr>
            </w:pPr>
            <w:r>
              <w:rPr>
                <w:rFonts w:ascii="Times New Roman" w:hAnsi="Times New Roman"/>
                <w:sz w:val="24"/>
              </w:rPr>
              <w:t>Parte dell'esposizione per ciascuna classe di esposizioni soggetta al metodo IRB (esposizione soggetta al metodo IRB prima della CRM rispetto all'esposizione complessiva in tale classe di esposizioni), nel rispetto dell'ambito di applicazione dell'autorizzazione ricevuta da un'autorità competente a utilizzare il metodo IRB conformemente all'articolo</w:t>
            </w:r>
            <w:r w:rsidR="001A0ED8">
              <w:rPr>
                <w:rFonts w:ascii="Times New Roman" w:hAnsi="Times New Roman"/>
                <w:sz w:val="24"/>
              </w:rPr>
              <w:t> </w:t>
            </w:r>
            <w:r>
              <w:rPr>
                <w:rFonts w:ascii="Times New Roman" w:hAnsi="Times New Roman"/>
                <w:sz w:val="24"/>
              </w:rPr>
              <w:t>143 del regolamento (UE) n. 575/2013. Sono incluse sia le esposizioni per le quali gli enti hanno l'autorizzazione ad utilizzare le proprie stime interne della LGD e/o dei fattori di conversione (F-IRB e A-IRB), compreso il metodo di assegnazione di vigilanza per le esposizioni da finanziamenti specializzati e le esposizioni in strumenti di capitale secondo il metodo della ponderazione semplice, sia le esposizioni segnalate nella riga 0170 del modello C 08.01.</w:t>
            </w:r>
          </w:p>
        </w:tc>
      </w:tr>
    </w:tbl>
    <w:p w14:paraId="164F67EA" w14:textId="77777777" w:rsidR="00FB3D09" w:rsidRPr="002A677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0"/>
        <w:gridCol w:w="8158"/>
      </w:tblGrid>
      <w:tr w:rsidR="00FB3D09" w:rsidRPr="002A677E" w14:paraId="0A859347" w14:textId="77777777" w:rsidTr="00822842">
        <w:tc>
          <w:tcPr>
            <w:tcW w:w="1271" w:type="dxa"/>
            <w:shd w:val="pct25" w:color="auto" w:fill="auto"/>
          </w:tcPr>
          <w:p w14:paraId="7F52456F" w14:textId="77777777" w:rsidR="00FB3D09" w:rsidRPr="002A677E" w:rsidRDefault="00FB3D09" w:rsidP="00822842">
            <w:pPr>
              <w:rPr>
                <w:rFonts w:ascii="Times New Roman" w:hAnsi="Times New Roman"/>
                <w:sz w:val="24"/>
              </w:rPr>
            </w:pPr>
            <w:r>
              <w:rPr>
                <w:rFonts w:ascii="Times New Roman" w:hAnsi="Times New Roman"/>
                <w:sz w:val="24"/>
              </w:rPr>
              <w:t>Righe</w:t>
            </w:r>
          </w:p>
        </w:tc>
        <w:tc>
          <w:tcPr>
            <w:tcW w:w="8557" w:type="dxa"/>
            <w:shd w:val="pct25" w:color="auto" w:fill="auto"/>
          </w:tcPr>
          <w:p w14:paraId="123EB3D4" w14:textId="77777777" w:rsidR="00FB3D09" w:rsidRPr="002A677E" w:rsidRDefault="00FB3D09" w:rsidP="00822842">
            <w:pPr>
              <w:rPr>
                <w:rFonts w:ascii="Times New Roman" w:hAnsi="Times New Roman"/>
                <w:sz w:val="24"/>
              </w:rPr>
            </w:pPr>
            <w:r>
              <w:rPr>
                <w:rFonts w:ascii="Times New Roman" w:hAnsi="Times New Roman"/>
                <w:sz w:val="24"/>
              </w:rPr>
              <w:t>Istruzioni</w:t>
            </w:r>
          </w:p>
        </w:tc>
      </w:tr>
      <w:tr w:rsidR="00FB3D09" w:rsidRPr="002A677E" w14:paraId="39EFDE98" w14:textId="77777777" w:rsidTr="00822842">
        <w:tc>
          <w:tcPr>
            <w:tcW w:w="1271" w:type="dxa"/>
          </w:tcPr>
          <w:p w14:paraId="416FB44E" w14:textId="77777777" w:rsidR="00FB3D09" w:rsidRPr="002A677E" w:rsidRDefault="00FB3D09" w:rsidP="00822842">
            <w:pPr>
              <w:rPr>
                <w:rFonts w:ascii="Times New Roman" w:hAnsi="Times New Roman"/>
                <w:sz w:val="24"/>
              </w:rPr>
            </w:pPr>
            <w:r>
              <w:rPr>
                <w:rFonts w:ascii="Times New Roman" w:hAnsi="Times New Roman"/>
                <w:sz w:val="24"/>
              </w:rPr>
              <w:t>CLASSI DI ESPOSIZIONI</w:t>
            </w:r>
          </w:p>
        </w:tc>
        <w:tc>
          <w:tcPr>
            <w:tcW w:w="8557" w:type="dxa"/>
          </w:tcPr>
          <w:p w14:paraId="7564DFF0" w14:textId="77777777" w:rsidR="00FB3D09" w:rsidRPr="002A677E" w:rsidRDefault="00FB3D09" w:rsidP="00822842">
            <w:pPr>
              <w:rPr>
                <w:rFonts w:ascii="Times New Roman" w:eastAsiaTheme="minorHAnsi" w:hAnsi="Times New Roman"/>
                <w:sz w:val="24"/>
              </w:rPr>
            </w:pPr>
            <w:r>
              <w:rPr>
                <w:rFonts w:ascii="Times New Roman" w:hAnsi="Times New Roman"/>
                <w:sz w:val="24"/>
              </w:rPr>
              <w:t>Gli enti includono le informazioni in questo modello per classi di esposizioni, conformemente alla ripartizione delle classi di esposizioni incluse nelle righe del modello.</w:t>
            </w:r>
          </w:p>
        </w:tc>
      </w:tr>
    </w:tbl>
    <w:p w14:paraId="423B2FFB" w14:textId="77777777" w:rsidR="00FB3D09" w:rsidRPr="002A677E" w:rsidRDefault="00FB3D09" w:rsidP="00FB3D09">
      <w:pPr>
        <w:pStyle w:val="InstructionsText"/>
      </w:pPr>
    </w:p>
    <w:p w14:paraId="64301D29" w14:textId="5498A6A8" w:rsidR="00FB3D09" w:rsidRPr="002A677E" w:rsidRDefault="00FB3D09" w:rsidP="003C214D">
      <w:pPr>
        <w:pStyle w:val="Instructionsberschrift2"/>
        <w:numPr>
          <w:ilvl w:val="0"/>
          <w:numId w:val="0"/>
        </w:numPr>
        <w:ind w:left="357" w:hanging="357"/>
      </w:pPr>
    </w:p>
    <w:p w14:paraId="6A9DD699" w14:textId="77777777" w:rsidR="00210485" w:rsidRDefault="00210485"/>
    <w:p w14:paraId="108DB657" w14:textId="77777777" w:rsidR="00FB3D09" w:rsidRDefault="00FB3D09"/>
    <w:p w14:paraId="31203373" w14:textId="77777777" w:rsidR="00FB3D09" w:rsidRDefault="00FB3D09"/>
    <w:p w14:paraId="32797964" w14:textId="77777777" w:rsidR="00210485" w:rsidRDefault="00210485"/>
    <w:sectPr w:rsidR="00210485">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03CBD" w14:textId="77777777" w:rsidR="00CF2E8B" w:rsidRDefault="00CF2E8B" w:rsidP="00E26A90">
      <w:pPr>
        <w:spacing w:after="0"/>
      </w:pPr>
      <w:r>
        <w:separator/>
      </w:r>
    </w:p>
  </w:endnote>
  <w:endnote w:type="continuationSeparator" w:id="0">
    <w:p w14:paraId="2A814F1F" w14:textId="77777777" w:rsidR="00CF2E8B" w:rsidRDefault="00CF2E8B"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8E0D9" w14:textId="77777777" w:rsidR="00CF2E8B" w:rsidRDefault="00CF2E8B" w:rsidP="00E26A90">
      <w:pPr>
        <w:spacing w:after="0"/>
      </w:pPr>
      <w:r>
        <w:separator/>
      </w:r>
    </w:p>
  </w:footnote>
  <w:footnote w:type="continuationSeparator" w:id="0">
    <w:p w14:paraId="3D573060" w14:textId="77777777" w:rsidR="00CF2E8B" w:rsidRDefault="00CF2E8B"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Per l'uso ordinario dell'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Per l'uso ordinario dell'ABE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Per l'uso ordinario dell'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Per l'uso ordinario dell'ABE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Per l'uso ordinario dell'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Per l'uso ordinario dell'ABE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B5577"/>
    <w:multiLevelType w:val="multilevel"/>
    <w:tmpl w:val="1E16ACB4"/>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CD55968"/>
    <w:multiLevelType w:val="multilevel"/>
    <w:tmpl w:val="6C985BEC"/>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1D2B1F86"/>
    <w:multiLevelType w:val="hybridMultilevel"/>
    <w:tmpl w:val="51A461B8"/>
    <w:lvl w:ilvl="0" w:tplc="8EFA9B40">
      <w:start w:val="1"/>
      <w:numFmt w:val="decimal"/>
      <w:lvlText w:val="%1)"/>
      <w:lvlJc w:val="left"/>
      <w:pPr>
        <w:ind w:left="1440" w:hanging="732"/>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2" w15:restartNumberingAfterBreak="0">
    <w:nsid w:val="2F7D7F02"/>
    <w:multiLevelType w:val="multilevel"/>
    <w:tmpl w:val="0407001D"/>
    <w:numStyleLink w:val="Formatvorlage3"/>
  </w:abstractNum>
  <w:abstractNum w:abstractNumId="1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8"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5776359">
    <w:abstractNumId w:val="4"/>
  </w:num>
  <w:num w:numId="2" w16cid:durableId="1733112609">
    <w:abstractNumId w:val="23"/>
  </w:num>
  <w:num w:numId="3" w16cid:durableId="286200695">
    <w:abstractNumId w:val="31"/>
  </w:num>
  <w:num w:numId="4" w16cid:durableId="487287975">
    <w:abstractNumId w:val="18"/>
  </w:num>
  <w:num w:numId="5" w16cid:durableId="1754350949">
    <w:abstractNumId w:val="26"/>
  </w:num>
  <w:num w:numId="6" w16cid:durableId="1507597667">
    <w:abstractNumId w:val="16"/>
  </w:num>
  <w:num w:numId="7" w16cid:durableId="139271283">
    <w:abstractNumId w:val="30"/>
  </w:num>
  <w:num w:numId="8" w16cid:durableId="763764270">
    <w:abstractNumId w:val="8"/>
  </w:num>
  <w:num w:numId="9" w16cid:durableId="1561986968">
    <w:abstractNumId w:val="24"/>
  </w:num>
  <w:num w:numId="10" w16cid:durableId="1349260748">
    <w:abstractNumId w:val="14"/>
  </w:num>
  <w:num w:numId="11" w16cid:durableId="1097991330">
    <w:abstractNumId w:val="20"/>
  </w:num>
  <w:num w:numId="12" w16cid:durableId="858469680">
    <w:abstractNumId w:val="10"/>
  </w:num>
  <w:num w:numId="13" w16cid:durableId="1485394352">
    <w:abstractNumId w:val="25"/>
  </w:num>
  <w:num w:numId="14" w16cid:durableId="881021889">
    <w:abstractNumId w:val="22"/>
  </w:num>
  <w:num w:numId="15" w16cid:durableId="1923681300">
    <w:abstractNumId w:val="13"/>
  </w:num>
  <w:num w:numId="16" w16cid:durableId="211188018">
    <w:abstractNumId w:val="19"/>
  </w:num>
  <w:num w:numId="17" w16cid:durableId="373817584">
    <w:abstractNumId w:val="12"/>
  </w:num>
  <w:num w:numId="18" w16cid:durableId="1615165847">
    <w:abstractNumId w:val="27"/>
  </w:num>
  <w:num w:numId="19" w16cid:durableId="429467310">
    <w:abstractNumId w:val="6"/>
  </w:num>
  <w:num w:numId="20" w16cid:durableId="430467532">
    <w:abstractNumId w:val="32"/>
  </w:num>
  <w:num w:numId="21" w16cid:durableId="1464036760">
    <w:abstractNumId w:val="5"/>
  </w:num>
  <w:num w:numId="22" w16cid:durableId="1079792157">
    <w:abstractNumId w:val="17"/>
  </w:num>
  <w:num w:numId="23" w16cid:durableId="1333265662">
    <w:abstractNumId w:val="3"/>
  </w:num>
  <w:num w:numId="24" w16cid:durableId="737484550">
    <w:abstractNumId w:val="15"/>
  </w:num>
  <w:num w:numId="25" w16cid:durableId="309210531">
    <w:abstractNumId w:val="29"/>
  </w:num>
  <w:num w:numId="26" w16cid:durableId="166527561">
    <w:abstractNumId w:val="1"/>
  </w:num>
  <w:num w:numId="27" w16cid:durableId="1544101633">
    <w:abstractNumId w:val="28"/>
  </w:num>
  <w:num w:numId="28" w16cid:durableId="44380249">
    <w:abstractNumId w:val="21"/>
  </w:num>
  <w:num w:numId="29" w16cid:durableId="1838038624">
    <w:abstractNumId w:val="0"/>
  </w:num>
  <w:num w:numId="30" w16cid:durableId="1856265522">
    <w:abstractNumId w:val="11"/>
  </w:num>
  <w:num w:numId="31" w16cid:durableId="29191537">
    <w:abstractNumId w:val="9"/>
  </w:num>
  <w:num w:numId="32" w16cid:durableId="142084302">
    <w:abstractNumId w:val="2"/>
  </w:num>
  <w:num w:numId="33" w16cid:durableId="2032368279">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682E"/>
    <w:rsid w:val="000467F0"/>
    <w:rsid w:val="000A5D83"/>
    <w:rsid w:val="000C3D68"/>
    <w:rsid w:val="000C6322"/>
    <w:rsid w:val="000D5912"/>
    <w:rsid w:val="00126E51"/>
    <w:rsid w:val="00181F07"/>
    <w:rsid w:val="001A0ED8"/>
    <w:rsid w:val="001E1834"/>
    <w:rsid w:val="001E34F2"/>
    <w:rsid w:val="001F45C7"/>
    <w:rsid w:val="00210485"/>
    <w:rsid w:val="002433A6"/>
    <w:rsid w:val="0029349B"/>
    <w:rsid w:val="00393F1E"/>
    <w:rsid w:val="003C214D"/>
    <w:rsid w:val="003E076B"/>
    <w:rsid w:val="003F0844"/>
    <w:rsid w:val="0042414E"/>
    <w:rsid w:val="0057678A"/>
    <w:rsid w:val="00582B0D"/>
    <w:rsid w:val="005E354B"/>
    <w:rsid w:val="006013AC"/>
    <w:rsid w:val="00621A3F"/>
    <w:rsid w:val="00626DD7"/>
    <w:rsid w:val="00631623"/>
    <w:rsid w:val="006B0F8A"/>
    <w:rsid w:val="0074573C"/>
    <w:rsid w:val="007562A3"/>
    <w:rsid w:val="008A0FD4"/>
    <w:rsid w:val="008A3C6B"/>
    <w:rsid w:val="008A5ABF"/>
    <w:rsid w:val="008C13A4"/>
    <w:rsid w:val="008C6BB9"/>
    <w:rsid w:val="009161EF"/>
    <w:rsid w:val="0094064F"/>
    <w:rsid w:val="0096584D"/>
    <w:rsid w:val="00974C97"/>
    <w:rsid w:val="009C098A"/>
    <w:rsid w:val="009D125A"/>
    <w:rsid w:val="00A53BD9"/>
    <w:rsid w:val="00A54B9F"/>
    <w:rsid w:val="00A6002C"/>
    <w:rsid w:val="00A77E8C"/>
    <w:rsid w:val="00A816FF"/>
    <w:rsid w:val="00AB3AA8"/>
    <w:rsid w:val="00B71F25"/>
    <w:rsid w:val="00B937E2"/>
    <w:rsid w:val="00B949C3"/>
    <w:rsid w:val="00B95971"/>
    <w:rsid w:val="00CC757F"/>
    <w:rsid w:val="00CD1BFF"/>
    <w:rsid w:val="00CF2E8B"/>
    <w:rsid w:val="00DB50AA"/>
    <w:rsid w:val="00E13BD0"/>
    <w:rsid w:val="00E26A90"/>
    <w:rsid w:val="00E3648D"/>
    <w:rsid w:val="00E87394"/>
    <w:rsid w:val="00EC2C42"/>
    <w:rsid w:val="00EF07A1"/>
    <w:rsid w:val="00EF2302"/>
    <w:rsid w:val="00F211BE"/>
    <w:rsid w:val="00F35049"/>
    <w:rsid w:val="00F37042"/>
    <w:rsid w:val="00F61AEB"/>
    <w:rsid w:val="00FB3D09"/>
    <w:rsid w:val="00FC2C95"/>
    <w:rsid w:val="00FC71D2"/>
    <w:rsid w:val="00FD1A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D09"/>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B3D09"/>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B3D09"/>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B3D09"/>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B3D09"/>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B3D09"/>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B3D09"/>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B3D09"/>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B3D09"/>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B3D09"/>
    <w:pPr>
      <w:spacing w:before="240" w:after="60"/>
      <w:outlineLvl w:val="8"/>
    </w:pPr>
    <w:rPr>
      <w:rFonts w:ascii="Arial" w:eastAsia="Arial" w:hAnsi="Arial"/>
      <w:szCs w:val="20"/>
      <w:lang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B3D09"/>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B3D09"/>
    <w:rPr>
      <w:rFonts w:ascii="Verdana" w:eastAsia="Arial" w:hAnsi="Verdana" w:cs="Times New Roman"/>
      <w:b/>
      <w:kern w:val="0"/>
      <w:sz w:val="24"/>
      <w:szCs w:val="24"/>
      <w:u w:val="single"/>
      <w:lang w:val="it-IT" w:eastAsia="x-none"/>
      <w14:ligatures w14:val="none"/>
    </w:rPr>
  </w:style>
  <w:style w:type="character" w:customStyle="1" w:styleId="Heading3Char">
    <w:name w:val="Heading 3 Char"/>
    <w:aliases w:val="Title 2 Char"/>
    <w:basedOn w:val="DefaultParagraphFont"/>
    <w:uiPriority w:val="99"/>
    <w:rsid w:val="00FB3D09"/>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B3D09"/>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B3D09"/>
    <w:rPr>
      <w:rFonts w:ascii="Arial" w:eastAsia="Arial" w:hAnsi="Arial" w:cs="Times New Roman"/>
      <w:b/>
      <w:i/>
      <w:kern w:val="0"/>
      <w:sz w:val="20"/>
      <w:szCs w:val="20"/>
      <w:lang w:val="it-IT" w:eastAsia="de-DE"/>
      <w14:ligatures w14:val="none"/>
    </w:rPr>
  </w:style>
  <w:style w:type="character" w:customStyle="1" w:styleId="Heading6Char">
    <w:name w:val="Heading 6 Char"/>
    <w:basedOn w:val="DefaultParagraphFont"/>
    <w:link w:val="Heading6"/>
    <w:rsid w:val="00FB3D09"/>
    <w:rPr>
      <w:rFonts w:ascii="Times New Roman" w:eastAsia="Arial" w:hAnsi="Times New Roman" w:cs="Times New Roman"/>
      <w:b/>
      <w:bCs/>
      <w:kern w:val="0"/>
      <w:sz w:val="20"/>
      <w:szCs w:val="20"/>
      <w:lang w:val="it-IT" w:eastAsia="de-DE"/>
      <w14:ligatures w14:val="none"/>
    </w:rPr>
  </w:style>
  <w:style w:type="character" w:customStyle="1" w:styleId="Heading7Char">
    <w:name w:val="Heading 7 Char"/>
    <w:basedOn w:val="DefaultParagraphFont"/>
    <w:link w:val="Heading7"/>
    <w:rsid w:val="00FB3D09"/>
    <w:rPr>
      <w:rFonts w:ascii="Times New Roman" w:eastAsia="Arial" w:hAnsi="Times New Roman" w:cs="Times New Roman"/>
      <w:kern w:val="0"/>
      <w:sz w:val="20"/>
      <w:szCs w:val="20"/>
      <w:lang w:val="it-IT" w:eastAsia="de-DE"/>
      <w14:ligatures w14:val="none"/>
    </w:rPr>
  </w:style>
  <w:style w:type="character" w:customStyle="1" w:styleId="Heading8Char">
    <w:name w:val="Heading 8 Char"/>
    <w:basedOn w:val="DefaultParagraphFont"/>
    <w:link w:val="Heading8"/>
    <w:rsid w:val="00FB3D09"/>
    <w:rPr>
      <w:rFonts w:ascii="Times New Roman" w:eastAsia="Arial" w:hAnsi="Times New Roman" w:cs="Times New Roman"/>
      <w:i/>
      <w:iCs/>
      <w:kern w:val="0"/>
      <w:sz w:val="20"/>
      <w:szCs w:val="20"/>
      <w:lang w:val="it-IT" w:eastAsia="de-DE"/>
      <w14:ligatures w14:val="none"/>
    </w:rPr>
  </w:style>
  <w:style w:type="character" w:customStyle="1" w:styleId="Heading9Char">
    <w:name w:val="Heading 9 Char"/>
    <w:basedOn w:val="DefaultParagraphFont"/>
    <w:link w:val="Heading9"/>
    <w:rsid w:val="00FB3D09"/>
    <w:rPr>
      <w:rFonts w:ascii="Arial" w:eastAsia="Arial" w:hAnsi="Arial" w:cs="Times New Roman"/>
      <w:kern w:val="0"/>
      <w:sz w:val="20"/>
      <w:szCs w:val="20"/>
      <w:lang w:val="it-IT" w:eastAsia="de-DE"/>
      <w14:ligatures w14:val="none"/>
    </w:rPr>
  </w:style>
  <w:style w:type="paragraph" w:styleId="TableofFigures">
    <w:name w:val="table of figures"/>
    <w:basedOn w:val="Normal"/>
    <w:next w:val="Normal"/>
    <w:qFormat/>
    <w:rsid w:val="00FB3D09"/>
    <w:pPr>
      <w:ind w:left="440" w:hanging="440"/>
    </w:pPr>
  </w:style>
  <w:style w:type="paragraph" w:customStyle="1" w:styleId="Aufzhlungszeichen1">
    <w:name w:val="Aufzählungszeichen1"/>
    <w:basedOn w:val="Normal"/>
    <w:uiPriority w:val="1"/>
    <w:qFormat/>
    <w:rsid w:val="00FB3D09"/>
    <w:pPr>
      <w:numPr>
        <w:numId w:val="1"/>
      </w:numPr>
      <w:spacing w:line="240" w:lineRule="exact"/>
    </w:pPr>
  </w:style>
  <w:style w:type="paragraph" w:customStyle="1" w:styleId="Aufzhlungszeichen2">
    <w:name w:val="Aufzählungszeichen2"/>
    <w:basedOn w:val="Normal"/>
    <w:uiPriority w:val="1"/>
    <w:qFormat/>
    <w:rsid w:val="00FB3D09"/>
    <w:pPr>
      <w:numPr>
        <w:numId w:val="2"/>
      </w:numPr>
      <w:spacing w:line="240" w:lineRule="exact"/>
    </w:pPr>
  </w:style>
  <w:style w:type="paragraph" w:customStyle="1" w:styleId="Aufzhlungszeichen3">
    <w:name w:val="Aufzählungszeichen3"/>
    <w:basedOn w:val="Normal"/>
    <w:uiPriority w:val="1"/>
    <w:qFormat/>
    <w:rsid w:val="00FB3D09"/>
    <w:pPr>
      <w:numPr>
        <w:numId w:val="3"/>
      </w:numPr>
      <w:spacing w:line="240" w:lineRule="exact"/>
    </w:pPr>
  </w:style>
  <w:style w:type="paragraph" w:customStyle="1" w:styleId="Aufzhlungszeichen4">
    <w:name w:val="Aufzählungszeichen4"/>
    <w:basedOn w:val="Normal"/>
    <w:uiPriority w:val="1"/>
    <w:qFormat/>
    <w:rsid w:val="00FB3D09"/>
    <w:pPr>
      <w:numPr>
        <w:numId w:val="4"/>
      </w:numPr>
      <w:spacing w:line="240" w:lineRule="exact"/>
    </w:pPr>
  </w:style>
  <w:style w:type="paragraph" w:styleId="FootnoteText">
    <w:name w:val="footnote text"/>
    <w:basedOn w:val="Normal"/>
    <w:link w:val="FootnoteTextChar"/>
    <w:qFormat/>
    <w:rsid w:val="00FB3D09"/>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B3D09"/>
    <w:rPr>
      <w:rFonts w:ascii="Arial" w:eastAsia="Arial" w:hAnsi="Arial" w:cs="Times New Roman"/>
      <w:kern w:val="0"/>
      <w:sz w:val="16"/>
      <w:szCs w:val="16"/>
      <w:lang w:val="it-IT"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B3D09"/>
    <w:rPr>
      <w:rFonts w:ascii="Arial" w:hAnsi="Arial" w:cs="Times New Roman"/>
      <w:kern w:val="0"/>
      <w:position w:val="4"/>
      <w:sz w:val="12"/>
      <w:szCs w:val="12"/>
      <w:vertAlign w:val="baseline"/>
    </w:rPr>
  </w:style>
  <w:style w:type="paragraph" w:styleId="Footer">
    <w:name w:val="footer"/>
    <w:basedOn w:val="Normal"/>
    <w:link w:val="FooterChar"/>
    <w:uiPriority w:val="99"/>
    <w:rsid w:val="00FB3D09"/>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B3D09"/>
    <w:rPr>
      <w:rFonts w:ascii="Arial" w:eastAsia="Arial" w:hAnsi="Arial" w:cs="Times New Roman"/>
      <w:kern w:val="0"/>
      <w:sz w:val="14"/>
      <w:szCs w:val="14"/>
      <w:lang w:val="it-IT" w:eastAsia="de-DE"/>
      <w14:ligatures w14:val="none"/>
    </w:rPr>
  </w:style>
  <w:style w:type="paragraph" w:customStyle="1" w:styleId="GliederungmitAufzhlung">
    <w:name w:val="Gliederung mit Aufzählung"/>
    <w:basedOn w:val="Normal"/>
    <w:uiPriority w:val="1"/>
    <w:qFormat/>
    <w:rsid w:val="00FB3D09"/>
    <w:pPr>
      <w:numPr>
        <w:numId w:val="7"/>
      </w:numPr>
      <w:spacing w:line="312" w:lineRule="auto"/>
    </w:pPr>
  </w:style>
  <w:style w:type="paragraph" w:customStyle="1" w:styleId="GliederungmitNummerierung">
    <w:name w:val="Gliederung mit Nummerierung"/>
    <w:basedOn w:val="Normal"/>
    <w:uiPriority w:val="1"/>
    <w:qFormat/>
    <w:rsid w:val="00FB3D09"/>
    <w:pPr>
      <w:numPr>
        <w:numId w:val="8"/>
      </w:numPr>
      <w:spacing w:line="312" w:lineRule="auto"/>
    </w:pPr>
  </w:style>
  <w:style w:type="paragraph" w:customStyle="1" w:styleId="HngEinrckung1">
    <w:name w:val="Häng. Einrückung1"/>
    <w:basedOn w:val="Normal"/>
    <w:uiPriority w:val="1"/>
    <w:qFormat/>
    <w:rsid w:val="00FB3D09"/>
    <w:pPr>
      <w:spacing w:line="312" w:lineRule="auto"/>
      <w:ind w:left="567" w:hanging="567"/>
    </w:pPr>
  </w:style>
  <w:style w:type="paragraph" w:customStyle="1" w:styleId="HngEinrckung2">
    <w:name w:val="Häng. Einrückung2"/>
    <w:basedOn w:val="Normal"/>
    <w:uiPriority w:val="1"/>
    <w:qFormat/>
    <w:rsid w:val="00FB3D09"/>
    <w:pPr>
      <w:spacing w:line="312" w:lineRule="auto"/>
      <w:ind w:left="1134" w:hanging="567"/>
    </w:pPr>
  </w:style>
  <w:style w:type="paragraph" w:customStyle="1" w:styleId="HngEinrckung3">
    <w:name w:val="Häng. Einrückung3"/>
    <w:basedOn w:val="Normal"/>
    <w:uiPriority w:val="1"/>
    <w:qFormat/>
    <w:rsid w:val="00FB3D09"/>
    <w:pPr>
      <w:spacing w:line="312" w:lineRule="auto"/>
      <w:ind w:left="1701" w:hanging="567"/>
    </w:pPr>
  </w:style>
  <w:style w:type="character" w:styleId="Hyperlink">
    <w:name w:val="Hyperlink"/>
    <w:uiPriority w:val="99"/>
    <w:rsid w:val="00FB3D09"/>
    <w:rPr>
      <w:rFonts w:cs="Times New Roman"/>
      <w:color w:val="0000FF"/>
      <w:u w:val="single"/>
    </w:rPr>
  </w:style>
  <w:style w:type="paragraph" w:customStyle="1" w:styleId="Marginalspalte">
    <w:name w:val="Marginalspalte"/>
    <w:basedOn w:val="Normal"/>
    <w:uiPriority w:val="1"/>
    <w:qFormat/>
    <w:rsid w:val="00FB3D09"/>
    <w:pPr>
      <w:framePr w:w="851" w:h="851" w:hSpace="284" w:wrap="around" w:vAnchor="text" w:hAnchor="page" w:y="1"/>
    </w:pPr>
    <w:rPr>
      <w:i/>
      <w:szCs w:val="22"/>
    </w:rPr>
  </w:style>
  <w:style w:type="paragraph" w:customStyle="1" w:styleId="Nummerierungsart1">
    <w:name w:val="Nummerierungsart1"/>
    <w:basedOn w:val="Normal"/>
    <w:uiPriority w:val="1"/>
    <w:qFormat/>
    <w:rsid w:val="00FB3D09"/>
    <w:pPr>
      <w:numPr>
        <w:numId w:val="9"/>
      </w:numPr>
    </w:pPr>
  </w:style>
  <w:style w:type="paragraph" w:customStyle="1" w:styleId="Nummerierungsart2">
    <w:name w:val="Nummerierungsart2"/>
    <w:basedOn w:val="Normal"/>
    <w:uiPriority w:val="1"/>
    <w:qFormat/>
    <w:rsid w:val="00FB3D09"/>
    <w:pPr>
      <w:numPr>
        <w:numId w:val="10"/>
      </w:numPr>
    </w:pPr>
  </w:style>
  <w:style w:type="paragraph" w:customStyle="1" w:styleId="Nummerierungsart3">
    <w:name w:val="Nummerierungsart3"/>
    <w:basedOn w:val="Normal"/>
    <w:uiPriority w:val="1"/>
    <w:qFormat/>
    <w:rsid w:val="00FB3D09"/>
    <w:pPr>
      <w:numPr>
        <w:numId w:val="11"/>
      </w:numPr>
    </w:pPr>
  </w:style>
  <w:style w:type="paragraph" w:customStyle="1" w:styleId="Nummerierungsart4">
    <w:name w:val="Nummerierungsart4"/>
    <w:basedOn w:val="Normal"/>
    <w:uiPriority w:val="1"/>
    <w:qFormat/>
    <w:rsid w:val="00FB3D09"/>
    <w:pPr>
      <w:numPr>
        <w:numId w:val="12"/>
      </w:numPr>
    </w:pPr>
  </w:style>
  <w:style w:type="character" w:styleId="PageNumber">
    <w:name w:val="page number"/>
    <w:uiPriority w:val="99"/>
    <w:rsid w:val="00FB3D09"/>
    <w:rPr>
      <w:rFonts w:ascii="Arial" w:hAnsi="Arial" w:cs="Times New Roman"/>
      <w:sz w:val="22"/>
    </w:rPr>
  </w:style>
  <w:style w:type="character" w:customStyle="1" w:styleId="Heading3Char1">
    <w:name w:val="Heading 3 Char1"/>
    <w:aliases w:val="Title 2 Char1"/>
    <w:link w:val="Heading3"/>
    <w:uiPriority w:val="99"/>
    <w:locked/>
    <w:rsid w:val="00FB3D09"/>
    <w:rPr>
      <w:rFonts w:ascii="Arial" w:eastAsia="Arial" w:hAnsi="Arial" w:cs="Times New Roman"/>
      <w:b/>
      <w:kern w:val="0"/>
      <w:sz w:val="20"/>
      <w:szCs w:val="20"/>
      <w:lang w:val="it-IT" w:eastAsia="de-DE"/>
      <w14:ligatures w14:val="none"/>
    </w:rPr>
  </w:style>
  <w:style w:type="paragraph" w:styleId="TOC1">
    <w:name w:val="toc 1"/>
    <w:basedOn w:val="Normal"/>
    <w:next w:val="Normal"/>
    <w:autoRedefine/>
    <w:uiPriority w:val="39"/>
    <w:qFormat/>
    <w:rsid w:val="00FB3D09"/>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B3D09"/>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B3D09"/>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B3D09"/>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B3D09"/>
    <w:pPr>
      <w:tabs>
        <w:tab w:val="right" w:leader="dot" w:pos="9071"/>
      </w:tabs>
      <w:ind w:left="1134" w:hanging="1134"/>
    </w:pPr>
    <w:rPr>
      <w:sz w:val="16"/>
    </w:rPr>
  </w:style>
  <w:style w:type="paragraph" w:styleId="TOC8">
    <w:name w:val="toc 8"/>
    <w:basedOn w:val="Normal"/>
    <w:next w:val="Normal"/>
    <w:autoRedefine/>
    <w:uiPriority w:val="39"/>
    <w:rsid w:val="00FB3D09"/>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B3D09"/>
    <w:pPr>
      <w:tabs>
        <w:tab w:val="right" w:leader="dot" w:pos="9071"/>
      </w:tabs>
      <w:ind w:left="1361" w:hanging="1361"/>
    </w:pPr>
    <w:rPr>
      <w:sz w:val="16"/>
    </w:rPr>
  </w:style>
  <w:style w:type="paragraph" w:styleId="Quote">
    <w:name w:val="Quote"/>
    <w:basedOn w:val="Normal"/>
    <w:next w:val="Normal"/>
    <w:link w:val="QuoteChar"/>
    <w:uiPriority w:val="29"/>
    <w:qFormat/>
    <w:rsid w:val="00FB3D09"/>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B3D09"/>
    <w:rPr>
      <w:rFonts w:ascii="Arial" w:eastAsia="Arial" w:hAnsi="Arial" w:cs="Times New Roman"/>
      <w:i/>
      <w:iCs/>
      <w:color w:val="000000"/>
      <w:kern w:val="0"/>
      <w:sz w:val="20"/>
      <w:szCs w:val="20"/>
      <w:lang w:val="it-IT" w:eastAsia="de-DE"/>
      <w14:ligatures w14:val="none"/>
    </w:rPr>
  </w:style>
  <w:style w:type="paragraph" w:styleId="TOCHeading">
    <w:name w:val="TOC Heading"/>
    <w:basedOn w:val="Heading1"/>
    <w:next w:val="Normal"/>
    <w:uiPriority w:val="39"/>
    <w:qFormat/>
    <w:rsid w:val="00FB3D09"/>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B3D09"/>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B3D09"/>
    <w:rPr>
      <w:rFonts w:ascii="Arial" w:eastAsia="Arial" w:hAnsi="Arial" w:cs="Times New Roman"/>
      <w:kern w:val="0"/>
      <w:sz w:val="20"/>
      <w:szCs w:val="20"/>
      <w:lang w:val="it-IT" w:eastAsia="de-DE"/>
      <w14:ligatures w14:val="none"/>
    </w:rPr>
  </w:style>
  <w:style w:type="character" w:styleId="EndnoteReference">
    <w:name w:val="endnote reference"/>
    <w:uiPriority w:val="1"/>
    <w:rsid w:val="00FB3D09"/>
    <w:rPr>
      <w:rFonts w:ascii="Arial" w:hAnsi="Arial" w:cs="Times New Roman"/>
      <w:color w:val="auto"/>
      <w:position w:val="4"/>
      <w:sz w:val="12"/>
      <w:vertAlign w:val="baseline"/>
    </w:rPr>
  </w:style>
  <w:style w:type="paragraph" w:customStyle="1" w:styleId="Ballontekst">
    <w:name w:val="Ballontekst"/>
    <w:basedOn w:val="Normal"/>
    <w:uiPriority w:val="99"/>
    <w:semiHidden/>
    <w:rsid w:val="00FB3D09"/>
    <w:rPr>
      <w:rFonts w:ascii="Tahoma" w:hAnsi="Tahoma" w:cs="Tahoma"/>
      <w:sz w:val="16"/>
      <w:szCs w:val="16"/>
    </w:rPr>
  </w:style>
  <w:style w:type="character" w:styleId="CommentReference">
    <w:name w:val="annotation reference"/>
    <w:uiPriority w:val="99"/>
    <w:rsid w:val="00FB3D09"/>
    <w:rPr>
      <w:rFonts w:cs="Times New Roman"/>
      <w:sz w:val="16"/>
      <w:szCs w:val="16"/>
    </w:rPr>
  </w:style>
  <w:style w:type="paragraph" w:styleId="CommentText">
    <w:name w:val="annotation text"/>
    <w:basedOn w:val="Normal"/>
    <w:link w:val="CommentTextChar"/>
    <w:uiPriority w:val="99"/>
    <w:rsid w:val="00FB3D09"/>
    <w:rPr>
      <w:rFonts w:eastAsia="Arial"/>
      <w:szCs w:val="20"/>
      <w:lang w:eastAsia="x-none"/>
    </w:rPr>
  </w:style>
  <w:style w:type="character" w:customStyle="1" w:styleId="CommentTextChar">
    <w:name w:val="Comment Text Char"/>
    <w:basedOn w:val="DefaultParagraphFont"/>
    <w:link w:val="CommentText"/>
    <w:uiPriority w:val="99"/>
    <w:rsid w:val="00FB3D09"/>
    <w:rPr>
      <w:rFonts w:ascii="Verdana" w:eastAsia="Arial" w:hAnsi="Verdana" w:cs="Times New Roman"/>
      <w:kern w:val="0"/>
      <w:sz w:val="20"/>
      <w:szCs w:val="20"/>
      <w:lang w:val="it-IT" w:eastAsia="x-none"/>
      <w14:ligatures w14:val="none"/>
    </w:rPr>
  </w:style>
  <w:style w:type="paragraph" w:customStyle="1" w:styleId="Onderwerpvanopmerking">
    <w:name w:val="Onderwerp van opmerking"/>
    <w:basedOn w:val="CommentText"/>
    <w:next w:val="CommentText"/>
    <w:uiPriority w:val="99"/>
    <w:semiHidden/>
    <w:rsid w:val="00FB3D09"/>
    <w:rPr>
      <w:b/>
      <w:bCs/>
    </w:rPr>
  </w:style>
  <w:style w:type="character" w:styleId="FollowedHyperlink">
    <w:name w:val="FollowedHyperlink"/>
    <w:uiPriority w:val="99"/>
    <w:rsid w:val="00FB3D09"/>
    <w:rPr>
      <w:rFonts w:cs="Times New Roman"/>
      <w:color w:val="606420"/>
      <w:u w:val="single"/>
    </w:rPr>
  </w:style>
  <w:style w:type="paragraph" w:styleId="BalloonText">
    <w:name w:val="Balloon Text"/>
    <w:basedOn w:val="Normal"/>
    <w:link w:val="BalloonTextChar"/>
    <w:uiPriority w:val="99"/>
    <w:rsid w:val="00FB3D09"/>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B3D09"/>
    <w:rPr>
      <w:rFonts w:ascii="Tahoma" w:eastAsia="Arial" w:hAnsi="Tahoma" w:cs="Times New Roman"/>
      <w:kern w:val="0"/>
      <w:sz w:val="16"/>
      <w:szCs w:val="16"/>
      <w:lang w:val="it-IT" w:eastAsia="x-none"/>
      <w14:ligatures w14:val="none"/>
    </w:rPr>
  </w:style>
  <w:style w:type="paragraph" w:styleId="CommentSubject">
    <w:name w:val="annotation subject"/>
    <w:basedOn w:val="CommentText"/>
    <w:next w:val="CommentText"/>
    <w:link w:val="CommentSubjectChar"/>
    <w:uiPriority w:val="99"/>
    <w:rsid w:val="00FB3D09"/>
    <w:rPr>
      <w:b/>
      <w:bCs/>
    </w:rPr>
  </w:style>
  <w:style w:type="character" w:customStyle="1" w:styleId="CommentSubjectChar">
    <w:name w:val="Comment Subject Char"/>
    <w:basedOn w:val="CommentTextChar"/>
    <w:link w:val="CommentSubject"/>
    <w:uiPriority w:val="99"/>
    <w:rsid w:val="00FB3D09"/>
    <w:rPr>
      <w:rFonts w:ascii="Verdana" w:eastAsia="Arial" w:hAnsi="Verdana" w:cs="Times New Roman"/>
      <w:b/>
      <w:bCs/>
      <w:kern w:val="0"/>
      <w:sz w:val="20"/>
      <w:szCs w:val="20"/>
      <w:lang w:val="it-IT" w:eastAsia="x-none"/>
      <w14:ligatures w14:val="none"/>
    </w:rPr>
  </w:style>
  <w:style w:type="table" w:styleId="TableGrid">
    <w:name w:val="Table Grid"/>
    <w:aliases w:val="Tabla CUADROS"/>
    <w:basedOn w:val="TableNormal"/>
    <w:uiPriority w:val="59"/>
    <w:rsid w:val="00FB3D09"/>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B3D09"/>
    <w:pPr>
      <w:spacing w:before="240" w:after="60"/>
    </w:pPr>
    <w:rPr>
      <w:iCs/>
      <w:szCs w:val="28"/>
    </w:rPr>
  </w:style>
  <w:style w:type="character" w:customStyle="1" w:styleId="Formatvorlageberschrift4Char">
    <w:name w:val="Formatvorlage Überschrift 4 Char"/>
    <w:link w:val="Formatvorlageberschrift4"/>
    <w:uiPriority w:val="99"/>
    <w:locked/>
    <w:rsid w:val="00FB3D09"/>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B3D09"/>
    <w:pPr>
      <w:tabs>
        <w:tab w:val="num" w:pos="540"/>
      </w:tabs>
      <w:spacing w:before="240"/>
      <w:ind w:left="540" w:hanging="540"/>
    </w:pPr>
    <w:rPr>
      <w:b w:val="0"/>
      <w:kern w:val="32"/>
    </w:rPr>
  </w:style>
  <w:style w:type="paragraph" w:customStyle="1" w:styleId="Instructionsberschrift2">
    <w:name w:val="Instructions Überschrift 2"/>
    <w:basedOn w:val="Heading2"/>
    <w:rsid w:val="00FB3D09"/>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B3D09"/>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B3D09"/>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B3D09"/>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B3D09"/>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B3D09"/>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B3D09"/>
    <w:rPr>
      <w:rFonts w:ascii="Verdana" w:hAnsi="Verdana" w:cs="Times New Roman"/>
      <w:b/>
      <w:bCs/>
      <w:sz w:val="20"/>
      <w:u w:val="single"/>
    </w:rPr>
  </w:style>
  <w:style w:type="character" w:customStyle="1" w:styleId="InstructionsTabelleText">
    <w:name w:val="Instructions Tabelle Text"/>
    <w:rsid w:val="00FB3D09"/>
    <w:rPr>
      <w:rFonts w:ascii="Verdana" w:hAnsi="Verdana" w:cs="Times New Roman"/>
      <w:sz w:val="20"/>
    </w:rPr>
  </w:style>
  <w:style w:type="character" w:customStyle="1" w:styleId="FormatvorlageInstructionsTabelleText">
    <w:name w:val="Formatvorlage Instructions Tabelle Text"/>
    <w:uiPriority w:val="99"/>
    <w:qFormat/>
    <w:rsid w:val="00FB3D09"/>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B3D09"/>
    <w:pPr>
      <w:ind w:left="0" w:firstLine="0"/>
    </w:pPr>
    <w:rPr>
      <w:szCs w:val="20"/>
    </w:rPr>
  </w:style>
  <w:style w:type="paragraph" w:customStyle="1" w:styleId="Texte2">
    <w:name w:val="Texte 2"/>
    <w:basedOn w:val="Normal"/>
    <w:uiPriority w:val="99"/>
    <w:rsid w:val="00FB3D09"/>
    <w:pPr>
      <w:spacing w:after="0"/>
      <w:ind w:left="567"/>
    </w:pPr>
    <w:rPr>
      <w:sz w:val="22"/>
      <w:szCs w:val="20"/>
      <w:lang w:eastAsia="fr-FR"/>
    </w:rPr>
  </w:style>
  <w:style w:type="paragraph" w:customStyle="1" w:styleId="Prrafodelista1">
    <w:name w:val="Párrafo de lista1"/>
    <w:basedOn w:val="Normal"/>
    <w:uiPriority w:val="99"/>
    <w:rsid w:val="00FB3D09"/>
    <w:pPr>
      <w:ind w:left="720"/>
    </w:pPr>
  </w:style>
  <w:style w:type="paragraph" w:customStyle="1" w:styleId="Prrafodelista2">
    <w:name w:val="Párrafo de lista2"/>
    <w:basedOn w:val="Normal"/>
    <w:uiPriority w:val="99"/>
    <w:rsid w:val="00FB3D09"/>
    <w:pPr>
      <w:ind w:left="708"/>
    </w:pPr>
  </w:style>
  <w:style w:type="paragraph" w:styleId="PlainText">
    <w:name w:val="Plain Text"/>
    <w:basedOn w:val="Normal"/>
    <w:link w:val="PlainTextChar"/>
    <w:uiPriority w:val="99"/>
    <w:rsid w:val="00FB3D09"/>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B3D09"/>
    <w:rPr>
      <w:rFonts w:ascii="Verdana" w:eastAsia="Arial" w:hAnsi="Verdana" w:cs="Times New Roman"/>
      <w:kern w:val="0"/>
      <w:sz w:val="20"/>
      <w:szCs w:val="20"/>
      <w:lang w:val="it-IT" w:eastAsia="es-ES_tradnl"/>
      <w14:ligatures w14:val="none"/>
    </w:rPr>
  </w:style>
  <w:style w:type="paragraph" w:customStyle="1" w:styleId="Listenabsatz1">
    <w:name w:val="Listenabsatz1"/>
    <w:basedOn w:val="Normal"/>
    <w:uiPriority w:val="99"/>
    <w:rsid w:val="00FB3D09"/>
    <w:pPr>
      <w:ind w:left="708"/>
    </w:pPr>
  </w:style>
  <w:style w:type="character" w:customStyle="1" w:styleId="InstructionsTextChar">
    <w:name w:val="Instructions Text Char"/>
    <w:link w:val="InstructionsText"/>
    <w:locked/>
    <w:rsid w:val="00FB3D09"/>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B3D09"/>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B3D09"/>
    <w:pPr>
      <w:ind w:left="708"/>
    </w:pPr>
  </w:style>
  <w:style w:type="character" w:styleId="PlaceholderText">
    <w:name w:val="Placeholder Text"/>
    <w:uiPriority w:val="99"/>
    <w:semiHidden/>
    <w:rsid w:val="00FB3D09"/>
    <w:rPr>
      <w:rFonts w:cs="Times New Roman"/>
      <w:color w:val="808080"/>
    </w:rPr>
  </w:style>
  <w:style w:type="paragraph" w:customStyle="1" w:styleId="InstructionsText2">
    <w:name w:val="Instructions Text 2"/>
    <w:basedOn w:val="InstructionsText"/>
    <w:qFormat/>
    <w:rsid w:val="00FB3D09"/>
    <w:pPr>
      <w:numPr>
        <w:numId w:val="15"/>
      </w:numPr>
      <w:spacing w:after="240"/>
    </w:pPr>
  </w:style>
  <w:style w:type="character" w:customStyle="1" w:styleId="Instructionsberschrift3Char">
    <w:name w:val="Instructions Überschrift 3 Char"/>
    <w:locked/>
    <w:rsid w:val="00FB3D09"/>
    <w:rPr>
      <w:rFonts w:ascii="Verdana" w:hAnsi="Verdana" w:cs="Arial"/>
      <w:b/>
      <w:bCs/>
      <w:sz w:val="26"/>
      <w:szCs w:val="26"/>
      <w:u w:val="single"/>
      <w:lang w:val="it-IT" w:eastAsia="en-US" w:bidi="ar-SA"/>
    </w:rPr>
  </w:style>
  <w:style w:type="paragraph" w:customStyle="1" w:styleId="CM4">
    <w:name w:val="CM4"/>
    <w:basedOn w:val="Normal"/>
    <w:next w:val="Normal"/>
    <w:uiPriority w:val="99"/>
    <w:rsid w:val="00FB3D09"/>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B3D09"/>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B3D09"/>
    <w:rPr>
      <w:rFonts w:ascii="Tahoma" w:eastAsia="Arial" w:hAnsi="Tahoma" w:cs="Times New Roman"/>
      <w:kern w:val="0"/>
      <w:sz w:val="16"/>
      <w:szCs w:val="16"/>
      <w:lang w:val="it-IT" w:eastAsia="x-none"/>
      <w14:ligatures w14:val="none"/>
    </w:rPr>
  </w:style>
  <w:style w:type="paragraph" w:customStyle="1" w:styleId="Titrearticle">
    <w:name w:val="Titre article"/>
    <w:basedOn w:val="Normal"/>
    <w:next w:val="Normal"/>
    <w:rsid w:val="00FB3D09"/>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B3D09"/>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B3D09"/>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B3D09"/>
    <w:rPr>
      <w:rFonts w:cs="Times New Roman"/>
      <w:sz w:val="24"/>
      <w:szCs w:val="24"/>
      <w:lang w:eastAsia="de-DE"/>
    </w:rPr>
  </w:style>
  <w:style w:type="paragraph" w:customStyle="1" w:styleId="NumPar1">
    <w:name w:val="NumPar 1"/>
    <w:basedOn w:val="Normal"/>
    <w:next w:val="Normal"/>
    <w:link w:val="NumPar1Char"/>
    <w:uiPriority w:val="99"/>
    <w:rsid w:val="00FB3D09"/>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B3D09"/>
    <w:rPr>
      <w:rFonts w:cs="Times New Roman"/>
      <w:sz w:val="24"/>
      <w:szCs w:val="24"/>
    </w:rPr>
  </w:style>
  <w:style w:type="paragraph" w:customStyle="1" w:styleId="Point1letter">
    <w:name w:val="Point 1 (letter)"/>
    <w:basedOn w:val="Normal"/>
    <w:link w:val="Point1letterChar"/>
    <w:uiPriority w:val="99"/>
    <w:rsid w:val="00FB3D09"/>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B3D09"/>
    <w:pPr>
      <w:numPr>
        <w:numId w:val="6"/>
      </w:numPr>
    </w:pPr>
  </w:style>
  <w:style w:type="numbering" w:customStyle="1" w:styleId="Formatvorlage3">
    <w:name w:val="Formatvorlage3"/>
    <w:uiPriority w:val="99"/>
    <w:rsid w:val="00FB3D09"/>
    <w:pPr>
      <w:numPr>
        <w:numId w:val="16"/>
      </w:numPr>
    </w:pPr>
  </w:style>
  <w:style w:type="numbering" w:customStyle="1" w:styleId="Formatvorlage1">
    <w:name w:val="Formatvorlage1"/>
    <w:uiPriority w:val="99"/>
    <w:rsid w:val="00FB3D09"/>
    <w:pPr>
      <w:numPr>
        <w:numId w:val="5"/>
      </w:numPr>
    </w:pPr>
  </w:style>
  <w:style w:type="numbering" w:customStyle="1" w:styleId="Formatvorlage4">
    <w:name w:val="Formatvorlage4"/>
    <w:uiPriority w:val="99"/>
    <w:rsid w:val="00FB3D09"/>
    <w:pPr>
      <w:numPr>
        <w:numId w:val="18"/>
      </w:numPr>
    </w:pPr>
  </w:style>
  <w:style w:type="paragraph" w:customStyle="1" w:styleId="ListParagraph1">
    <w:name w:val="List Paragraph1"/>
    <w:basedOn w:val="Normal"/>
    <w:uiPriority w:val="99"/>
    <w:qFormat/>
    <w:rsid w:val="00FB3D09"/>
    <w:pPr>
      <w:ind w:left="708"/>
    </w:pPr>
  </w:style>
  <w:style w:type="paragraph" w:customStyle="1" w:styleId="Anfhrungszeichen1">
    <w:name w:val="Anführungszeichen1"/>
    <w:basedOn w:val="Normal"/>
    <w:next w:val="Normal"/>
    <w:link w:val="AnfhrungszeichenZchn"/>
    <w:uiPriority w:val="29"/>
    <w:semiHidden/>
    <w:rsid w:val="00FB3D09"/>
    <w:rPr>
      <w:i/>
      <w:iCs/>
      <w:color w:val="000000"/>
    </w:rPr>
  </w:style>
  <w:style w:type="character" w:customStyle="1" w:styleId="AnfhrungszeichenZchn">
    <w:name w:val="Anführungszeichen Zchn"/>
    <w:link w:val="Anfhrungszeichen1"/>
    <w:uiPriority w:val="29"/>
    <w:semiHidden/>
    <w:rsid w:val="00FB3D09"/>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B3D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B3D09"/>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B3D09"/>
    <w:pPr>
      <w:ind w:left="708"/>
    </w:pPr>
  </w:style>
  <w:style w:type="character" w:customStyle="1" w:styleId="Platzhaltertext1">
    <w:name w:val="Platzhaltertext1"/>
    <w:uiPriority w:val="99"/>
    <w:semiHidden/>
    <w:rsid w:val="00FB3D09"/>
    <w:rPr>
      <w:color w:val="808080"/>
    </w:rPr>
  </w:style>
  <w:style w:type="paragraph" w:customStyle="1" w:styleId="Default">
    <w:name w:val="Default"/>
    <w:rsid w:val="00FB3D09"/>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B3D09"/>
    <w:rPr>
      <w:rFonts w:ascii="EU Albertina" w:hAnsi="EU Albertina" w:cs="Times New Roman"/>
      <w:color w:val="auto"/>
    </w:rPr>
  </w:style>
  <w:style w:type="paragraph" w:customStyle="1" w:styleId="CM3">
    <w:name w:val="CM3"/>
    <w:basedOn w:val="Default"/>
    <w:next w:val="Default"/>
    <w:uiPriority w:val="99"/>
    <w:rsid w:val="00FB3D09"/>
    <w:rPr>
      <w:rFonts w:ascii="EU Albertina" w:hAnsi="EU Albertina" w:cs="Times New Roman"/>
      <w:color w:val="auto"/>
    </w:rPr>
  </w:style>
  <w:style w:type="paragraph" w:styleId="NormalWeb">
    <w:name w:val="Normal (Web)"/>
    <w:basedOn w:val="Normal"/>
    <w:uiPriority w:val="99"/>
    <w:unhideWhenUsed/>
    <w:rsid w:val="00FB3D09"/>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B3D09"/>
    <w:rPr>
      <w:i/>
      <w:iCs/>
    </w:rPr>
  </w:style>
  <w:style w:type="paragraph" w:customStyle="1" w:styleId="TableMainHeading">
    <w:name w:val="TableMainHeading"/>
    <w:basedOn w:val="Normal"/>
    <w:next w:val="Normal"/>
    <w:uiPriority w:val="99"/>
    <w:rsid w:val="00FB3D09"/>
    <w:pPr>
      <w:jc w:val="left"/>
    </w:pPr>
    <w:rPr>
      <w:rFonts w:ascii="Segoe UI" w:hAnsi="Segoe UI"/>
      <w:sz w:val="22"/>
      <w:szCs w:val="20"/>
    </w:rPr>
  </w:style>
  <w:style w:type="paragraph" w:customStyle="1" w:styleId="body">
    <w:name w:val="body"/>
    <w:qFormat/>
    <w:rsid w:val="00FB3D09"/>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B3D09"/>
    <w:pPr>
      <w:spacing w:before="480"/>
    </w:pPr>
    <w:rPr>
      <w:rFonts w:ascii="Times New Roman" w:hAnsi="Times New Roman"/>
      <w:sz w:val="24"/>
    </w:rPr>
  </w:style>
  <w:style w:type="paragraph" w:customStyle="1" w:styleId="Fait">
    <w:name w:val="Fait à"/>
    <w:basedOn w:val="Normal"/>
    <w:next w:val="Normal"/>
    <w:rsid w:val="00FB3D09"/>
    <w:pPr>
      <w:keepNext/>
      <w:spacing w:after="0"/>
    </w:pPr>
    <w:rPr>
      <w:rFonts w:ascii="Times New Roman" w:hAnsi="Times New Roman"/>
      <w:sz w:val="24"/>
    </w:rPr>
  </w:style>
  <w:style w:type="paragraph" w:customStyle="1" w:styleId="Numberedtilelevel1">
    <w:name w:val="Numbered tile level 1"/>
    <w:basedOn w:val="Titlelevel1"/>
    <w:qFormat/>
    <w:rsid w:val="00FB3D09"/>
    <w:pPr>
      <w:numPr>
        <w:numId w:val="27"/>
      </w:numPr>
    </w:pPr>
  </w:style>
  <w:style w:type="paragraph" w:customStyle="1" w:styleId="Numberedtitlelevel2">
    <w:name w:val="Numbered title level 2"/>
    <w:basedOn w:val="Titlelevel2"/>
    <w:next w:val="body"/>
    <w:qFormat/>
    <w:rsid w:val="00FB3D09"/>
    <w:pPr>
      <w:numPr>
        <w:ilvl w:val="1"/>
        <w:numId w:val="27"/>
      </w:numPr>
    </w:pPr>
  </w:style>
  <w:style w:type="paragraph" w:customStyle="1" w:styleId="Titlelevel2">
    <w:name w:val="Title level 2"/>
    <w:qFormat/>
    <w:rsid w:val="00FB3D09"/>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B3D09"/>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B3D0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B3D09"/>
    <w:pPr>
      <w:numPr>
        <w:numId w:val="25"/>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B3D09"/>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B3D09"/>
    <w:pPr>
      <w:numPr>
        <w:numId w:val="26"/>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B3D09"/>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B3D09"/>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B3D09"/>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B3D09"/>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B3D09"/>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B3D09"/>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B3D09"/>
    <w:pPr>
      <w:numPr>
        <w:numId w:val="23"/>
      </w:numPr>
    </w:pPr>
    <w:rPr>
      <w:szCs w:val="22"/>
    </w:rPr>
  </w:style>
  <w:style w:type="paragraph" w:customStyle="1" w:styleId="bullet2">
    <w:name w:val="bullet 2"/>
    <w:basedOn w:val="body"/>
    <w:qFormat/>
    <w:rsid w:val="00FB3D09"/>
    <w:pPr>
      <w:numPr>
        <w:numId w:val="22"/>
      </w:numPr>
    </w:pPr>
    <w:rPr>
      <w:szCs w:val="22"/>
    </w:rPr>
  </w:style>
  <w:style w:type="paragraph" w:customStyle="1" w:styleId="Numberedtitlelevel3">
    <w:name w:val="Numbered title level 3"/>
    <w:basedOn w:val="Titlelevel3"/>
    <w:next w:val="body"/>
    <w:qFormat/>
    <w:rsid w:val="00FB3D09"/>
    <w:pPr>
      <w:numPr>
        <w:ilvl w:val="2"/>
        <w:numId w:val="27"/>
      </w:numPr>
    </w:pPr>
  </w:style>
  <w:style w:type="table" w:styleId="LightShading">
    <w:name w:val="Light Shading"/>
    <w:basedOn w:val="TableNormal"/>
    <w:uiPriority w:val="60"/>
    <w:rsid w:val="00FB3D09"/>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B3D09"/>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B3D09"/>
  </w:style>
  <w:style w:type="paragraph" w:customStyle="1" w:styleId="Numberedtitlelevel4">
    <w:name w:val="Numbered title level 4"/>
    <w:basedOn w:val="Titlelevel4"/>
    <w:qFormat/>
    <w:rsid w:val="00FB3D09"/>
    <w:pPr>
      <w:numPr>
        <w:numId w:val="24"/>
      </w:numPr>
    </w:pPr>
  </w:style>
  <w:style w:type="paragraph" w:styleId="Title">
    <w:name w:val="Title"/>
    <w:basedOn w:val="Normal"/>
    <w:next w:val="Normal"/>
    <w:link w:val="TitleChar"/>
    <w:qFormat/>
    <w:rsid w:val="00FB3D09"/>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B3D09"/>
    <w:rPr>
      <w:rFonts w:asciiTheme="majorHAnsi" w:eastAsiaTheme="majorEastAsia" w:hAnsiTheme="majorHAnsi" w:cstheme="majorBidi"/>
      <w:color w:val="44546A" w:themeColor="text2"/>
      <w:spacing w:val="5"/>
      <w:kern w:val="28"/>
      <w:sz w:val="52"/>
      <w:szCs w:val="52"/>
      <w:lang w:val="it-IT"/>
      <w14:ligatures w14:val="none"/>
    </w:rPr>
  </w:style>
  <w:style w:type="paragraph" w:styleId="Subtitle">
    <w:name w:val="Subtitle"/>
    <w:next w:val="Normal"/>
    <w:link w:val="SubtitleChar"/>
    <w:autoRedefine/>
    <w:uiPriority w:val="11"/>
    <w:qFormat/>
    <w:rsid w:val="00FB3D09"/>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B3D09"/>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B3D09"/>
    <w:rPr>
      <w:b/>
      <w:bCs/>
      <w:smallCaps/>
      <w:spacing w:val="5"/>
    </w:rPr>
  </w:style>
  <w:style w:type="character" w:customStyle="1" w:styleId="Highlighttext">
    <w:name w:val="Highlight text"/>
    <w:basedOn w:val="DefaultParagraphFont"/>
    <w:uiPriority w:val="1"/>
    <w:semiHidden/>
    <w:qFormat/>
    <w:rsid w:val="00FB3D09"/>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B3D09"/>
    <w:rPr>
      <w:bCs/>
      <w:lang w:eastAsia="en-GB"/>
    </w:rPr>
  </w:style>
  <w:style w:type="paragraph" w:styleId="ListBullet">
    <w:name w:val="List Bullet"/>
    <w:basedOn w:val="Normal"/>
    <w:semiHidden/>
    <w:qFormat/>
    <w:rsid w:val="00FB3D09"/>
    <w:pPr>
      <w:numPr>
        <w:numId w:val="29"/>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B3D09"/>
    <w:pPr>
      <w:numPr>
        <w:numId w:val="28"/>
      </w:numPr>
    </w:pPr>
  </w:style>
  <w:style w:type="character" w:customStyle="1" w:styleId="Marker">
    <w:name w:val="Marker"/>
    <w:rsid w:val="00FB3D09"/>
    <w:rPr>
      <w:color w:val="0000FF"/>
      <w:shd w:val="clear" w:color="auto" w:fill="auto"/>
    </w:rPr>
  </w:style>
  <w:style w:type="character" w:customStyle="1" w:styleId="Marker2">
    <w:name w:val="Marker2"/>
    <w:rsid w:val="00FB3D09"/>
    <w:rPr>
      <w:color w:val="FF0000"/>
      <w:shd w:val="clear" w:color="auto" w:fill="auto"/>
    </w:rPr>
  </w:style>
  <w:style w:type="paragraph" w:customStyle="1" w:styleId="Annexetitre">
    <w:name w:val="Annexe titre"/>
    <w:basedOn w:val="Normal"/>
    <w:next w:val="Normal"/>
    <w:rsid w:val="00FB3D09"/>
    <w:pPr>
      <w:jc w:val="center"/>
    </w:pPr>
    <w:rPr>
      <w:rFonts w:ascii="Times New Roman" w:hAnsi="Times New Roman"/>
      <w:b/>
      <w:sz w:val="24"/>
      <w:u w:val="single"/>
    </w:rPr>
  </w:style>
  <w:style w:type="paragraph" w:customStyle="1" w:styleId="Considrant">
    <w:name w:val="Considérant"/>
    <w:basedOn w:val="Normal"/>
    <w:rsid w:val="00FB3D09"/>
    <w:pPr>
      <w:numPr>
        <w:numId w:val="30"/>
      </w:numPr>
    </w:pPr>
    <w:rPr>
      <w:rFonts w:ascii="Times New Roman" w:hAnsi="Times New Roman"/>
      <w:sz w:val="24"/>
    </w:rPr>
  </w:style>
  <w:style w:type="paragraph" w:customStyle="1" w:styleId="Datedadoption">
    <w:name w:val="Date d'adoption"/>
    <w:basedOn w:val="Normal"/>
    <w:next w:val="Titreobjet"/>
    <w:rsid w:val="00FB3D09"/>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B3D09"/>
    <w:pPr>
      <w:keepNext/>
    </w:pPr>
    <w:rPr>
      <w:rFonts w:ascii="Times New Roman" w:hAnsi="Times New Roman"/>
      <w:sz w:val="24"/>
    </w:rPr>
  </w:style>
  <w:style w:type="paragraph" w:customStyle="1" w:styleId="Institutionquisigne">
    <w:name w:val="Institution qui signe"/>
    <w:basedOn w:val="Normal"/>
    <w:next w:val="Personnequisigne"/>
    <w:rsid w:val="00FB3D09"/>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B3D09"/>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B3D09"/>
    <w:pPr>
      <w:spacing w:before="360" w:after="360"/>
      <w:jc w:val="center"/>
    </w:pPr>
    <w:rPr>
      <w:rFonts w:ascii="Times New Roman" w:hAnsi="Times New Roman"/>
      <w:b/>
      <w:sz w:val="24"/>
    </w:rPr>
  </w:style>
  <w:style w:type="paragraph" w:customStyle="1" w:styleId="Typedudocument">
    <w:name w:val="Type du document"/>
    <w:basedOn w:val="Normal"/>
    <w:next w:val="Titreobjet"/>
    <w:rsid w:val="00FB3D09"/>
    <w:pPr>
      <w:spacing w:before="360" w:after="0"/>
      <w:jc w:val="center"/>
    </w:pPr>
    <w:rPr>
      <w:rFonts w:ascii="Times New Roman" w:hAnsi="Times New Roman"/>
      <w:b/>
      <w:sz w:val="24"/>
    </w:rPr>
  </w:style>
  <w:style w:type="paragraph" w:customStyle="1" w:styleId="Pagedecouverture">
    <w:name w:val="Page de couverture"/>
    <w:basedOn w:val="Normal"/>
    <w:next w:val="Normal"/>
    <w:rsid w:val="00FB3D09"/>
    <w:rPr>
      <w:rFonts w:ascii="Times New Roman" w:hAnsi="Times New Roman"/>
      <w:sz w:val="24"/>
    </w:rPr>
  </w:style>
  <w:style w:type="paragraph" w:customStyle="1" w:styleId="Institutionquiagit">
    <w:name w:val="Institution qui agit"/>
    <w:basedOn w:val="Normal"/>
    <w:next w:val="Normal"/>
    <w:rsid w:val="00FB3D09"/>
    <w:pPr>
      <w:keepNext/>
      <w:spacing w:before="600"/>
    </w:pPr>
    <w:rPr>
      <w:rFonts w:ascii="Times New Roman" w:hAnsi="Times New Roman"/>
      <w:sz w:val="24"/>
    </w:rPr>
  </w:style>
  <w:style w:type="paragraph" w:styleId="Caption">
    <w:name w:val="caption"/>
    <w:basedOn w:val="Normal"/>
    <w:next w:val="Normal"/>
    <w:uiPriority w:val="35"/>
    <w:unhideWhenUsed/>
    <w:qFormat/>
    <w:rsid w:val="00FB3D09"/>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B3D09"/>
    <w:pPr>
      <w:spacing w:before="60"/>
    </w:pPr>
    <w:rPr>
      <w:rFonts w:ascii="Segoe UI" w:hAnsi="Segoe UI"/>
      <w:sz w:val="15"/>
      <w:szCs w:val="20"/>
    </w:rPr>
  </w:style>
  <w:style w:type="paragraph" w:customStyle="1" w:styleId="CM11">
    <w:name w:val="CM1+1"/>
    <w:basedOn w:val="Default"/>
    <w:next w:val="Default"/>
    <w:uiPriority w:val="99"/>
    <w:rsid w:val="00FB3D09"/>
    <w:rPr>
      <w:rFonts w:ascii="EUAlbertina" w:eastAsiaTheme="minorEastAsia" w:hAnsi="EUAlbertina" w:cstheme="minorBidi"/>
      <w:color w:val="auto"/>
      <w:lang w:eastAsia="en-US"/>
    </w:rPr>
  </w:style>
  <w:style w:type="paragraph" w:customStyle="1" w:styleId="CM31">
    <w:name w:val="CM3+1"/>
    <w:basedOn w:val="Default"/>
    <w:next w:val="Default"/>
    <w:uiPriority w:val="99"/>
    <w:rsid w:val="00FB3D09"/>
    <w:rPr>
      <w:rFonts w:ascii="EUAlbertina" w:eastAsiaTheme="minorEastAsia" w:hAnsi="EUAlbertina" w:cstheme="minorBidi"/>
      <w:color w:val="auto"/>
      <w:lang w:eastAsia="en-US"/>
    </w:rPr>
  </w:style>
  <w:style w:type="paragraph" w:customStyle="1" w:styleId="CM13">
    <w:name w:val="CM1+3"/>
    <w:basedOn w:val="Default"/>
    <w:next w:val="Default"/>
    <w:uiPriority w:val="99"/>
    <w:rsid w:val="00FB3D09"/>
    <w:rPr>
      <w:rFonts w:ascii="EUAlbertina" w:eastAsiaTheme="minorEastAsia" w:hAnsi="EUAlbertina" w:cstheme="minorBidi"/>
      <w:color w:val="auto"/>
      <w:lang w:eastAsia="en-US"/>
    </w:rPr>
  </w:style>
  <w:style w:type="paragraph" w:customStyle="1" w:styleId="CM33">
    <w:name w:val="CM3+3"/>
    <w:basedOn w:val="Default"/>
    <w:next w:val="Default"/>
    <w:uiPriority w:val="99"/>
    <w:rsid w:val="00FB3D09"/>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B3D09"/>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B3D09"/>
    <w:rPr>
      <w:color w:val="605E5C"/>
      <w:shd w:val="clear" w:color="auto" w:fill="E1DFDD"/>
    </w:rPr>
  </w:style>
  <w:style w:type="character" w:styleId="Mention">
    <w:name w:val="Mention"/>
    <w:basedOn w:val="DefaultParagraphFont"/>
    <w:uiPriority w:val="99"/>
    <w:unhideWhenUsed/>
    <w:rsid w:val="00FB3D09"/>
    <w:rPr>
      <w:color w:val="2B579A"/>
      <w:shd w:val="clear" w:color="auto" w:fill="E1DFDD"/>
    </w:rPr>
  </w:style>
  <w:style w:type="paragraph" w:customStyle="1" w:styleId="pf0">
    <w:name w:val="pf0"/>
    <w:basedOn w:val="Normal"/>
    <w:rsid w:val="00FB3D09"/>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B3D09"/>
  </w:style>
  <w:style w:type="character" w:customStyle="1" w:styleId="cf01">
    <w:name w:val="cf01"/>
    <w:basedOn w:val="DefaultParagraphFont"/>
    <w:rsid w:val="00FB3D09"/>
    <w:rPr>
      <w:rFonts w:ascii="Segoe UI" w:hAnsi="Segoe UI" w:cs="Segoe UI" w:hint="default"/>
      <w:sz w:val="18"/>
      <w:szCs w:val="18"/>
    </w:rPr>
  </w:style>
  <w:style w:type="paragraph" w:styleId="BodyText">
    <w:name w:val="Body Text"/>
    <w:basedOn w:val="Normal"/>
    <w:link w:val="BodyTextChar"/>
    <w:rsid w:val="00FB3D09"/>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B3D09"/>
    <w:rPr>
      <w:rFonts w:ascii="Liberation Serif" w:eastAsia="SimSun" w:hAnsi="Liberation Serif" w:cs="Lucida Sans"/>
      <w:kern w:val="0"/>
      <w:sz w:val="24"/>
      <w:szCs w:val="24"/>
      <w:lang w:val="it-IT" w:eastAsia="zh-CN" w:bidi="hi-IN"/>
      <w14:ligatures w14:val="none"/>
    </w:rPr>
  </w:style>
  <w:style w:type="paragraph" w:customStyle="1" w:styleId="Tabelleninhalt">
    <w:name w:val="Tabelleninhalt"/>
    <w:basedOn w:val="Normal"/>
    <w:qFormat/>
    <w:rsid w:val="00FB3D09"/>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B3D09"/>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B3D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20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6EEAC2-429F-490C-9E25-655FD78C3A3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CE515D26-D1AF-4358-A209-C917BC472C9F}">
  <ds:schemaRefs>
    <ds:schemaRef ds:uri="http://schemas.microsoft.com/sharepoint/v3/contenttype/forms"/>
  </ds:schemaRefs>
</ds:datastoreItem>
</file>

<file path=customXml/itemProps3.xml><?xml version="1.0" encoding="utf-8"?>
<ds:datastoreItem xmlns:ds="http://schemas.openxmlformats.org/officeDocument/2006/customXml" ds:itemID="{B483069B-3FD1-41F8-BFD2-F4A5DE208DCE}"/>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28</Pages>
  <Words>10699</Words>
  <Characters>61093</Characters>
  <Application>Microsoft Office Word</Application>
  <DocSecurity>0</DocSecurity>
  <Lines>1272</Lines>
  <Paragraphs>690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2024-06-19T17:58:00Z</dcterms:created>
  <dcterms:modified xsi:type="dcterms:W3CDTF">2025-01-27T10:05:00Z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2025-01-27T09:53:11Z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b7c9b478-b9f1-4e2c-8530-cc729307fd0b</vt:lpwstr>
  </property>
  <property fmtid="{D5CDD505-2E9C-101B-9397-08002B2CF9AE}" pid="9" name="MSIP_Label_6bd9ddd1-4d20-43f6-abfa-fc3c07406f94_ContentBits">
    <vt:lpwstr>0</vt:lpwstr>
  </property>
</Properties>
</file>